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27"/>
        <w:tblW w:w="9457" w:type="dxa"/>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361"/>
        <w:gridCol w:w="5096"/>
      </w:tblGrid>
      <w:tr w:rsidR="00135628" w:rsidRPr="00EC1F5A" w14:paraId="29E5D5BC" w14:textId="77777777" w:rsidTr="00135628">
        <w:tc>
          <w:tcPr>
            <w:tcW w:w="4361" w:type="dxa"/>
            <w:vAlign w:val="center"/>
          </w:tcPr>
          <w:p w14:paraId="1DF3FE45" w14:textId="77777777" w:rsidR="00135628" w:rsidRPr="00EC1F5A" w:rsidRDefault="00135628" w:rsidP="00A4540E">
            <w:pPr>
              <w:rPr>
                <w:b/>
                <w:bCs/>
                <w:color w:val="808080" w:themeColor="background1" w:themeShade="80"/>
              </w:rPr>
            </w:pPr>
            <w:r>
              <w:rPr>
                <w:noProof/>
              </w:rPr>
              <w:drawing>
                <wp:inline distT="0" distB="0" distL="0" distR="0" wp14:anchorId="714552D4" wp14:editId="1E8FFD3A">
                  <wp:extent cx="2560842" cy="752475"/>
                  <wp:effectExtent l="0" t="0" r="0" b="0"/>
                  <wp:docPr id="3"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white text&#10;&#10;Description automatically generated"/>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29052" cy="772518"/>
                          </a:xfrm>
                          <a:prstGeom prst="rect">
                            <a:avLst/>
                          </a:prstGeom>
                          <a:noFill/>
                          <a:ln>
                            <a:noFill/>
                          </a:ln>
                        </pic:spPr>
                      </pic:pic>
                    </a:graphicData>
                  </a:graphic>
                </wp:inline>
              </w:drawing>
            </w:r>
          </w:p>
        </w:tc>
        <w:tc>
          <w:tcPr>
            <w:tcW w:w="5096" w:type="dxa"/>
          </w:tcPr>
          <w:p w14:paraId="346E6E24" w14:textId="77777777" w:rsidR="00135628" w:rsidRPr="00EC1F5A" w:rsidRDefault="00135628" w:rsidP="00A4540E">
            <w:pPr>
              <w:spacing w:line="276" w:lineRule="auto"/>
              <w:rPr>
                <w:rFonts w:ascii="Arial Narrow" w:hAnsi="Arial Narrow"/>
                <w:b/>
                <w:bCs/>
                <w:color w:val="808080" w:themeColor="background1" w:themeShade="80"/>
                <w:spacing w:val="4"/>
                <w:sz w:val="20"/>
                <w:szCs w:val="16"/>
              </w:rPr>
            </w:pPr>
            <w:r w:rsidRPr="00EC1F5A">
              <w:rPr>
                <w:rFonts w:ascii="Arial Narrow" w:hAnsi="Arial Narrow"/>
                <w:b/>
                <w:bCs/>
                <w:color w:val="808080" w:themeColor="background1" w:themeShade="80"/>
                <w:spacing w:val="4"/>
                <w:sz w:val="20"/>
                <w:szCs w:val="16"/>
              </w:rPr>
              <w:t>Banking Ombudsman Scheme</w:t>
            </w:r>
          </w:p>
          <w:p w14:paraId="0B842316" w14:textId="77777777" w:rsidR="00135628" w:rsidRPr="00EC1F5A" w:rsidRDefault="00135628" w:rsidP="00A4540E">
            <w:pPr>
              <w:spacing w:line="276" w:lineRule="auto"/>
              <w:rPr>
                <w:rFonts w:ascii="Arial Narrow" w:hAnsi="Arial Narrow"/>
                <w:color w:val="808080" w:themeColor="background1" w:themeShade="80"/>
                <w:spacing w:val="4"/>
                <w:sz w:val="20"/>
                <w:szCs w:val="16"/>
              </w:rPr>
            </w:pPr>
            <w:r w:rsidRPr="00EC1F5A">
              <w:rPr>
                <w:rFonts w:ascii="Arial Narrow" w:hAnsi="Arial Narrow"/>
                <w:color w:val="808080" w:themeColor="background1" w:themeShade="80"/>
                <w:spacing w:val="4"/>
                <w:sz w:val="20"/>
                <w:szCs w:val="16"/>
              </w:rPr>
              <w:t>Freepost 218 002, Po Box 25327, Wellington 6140</w:t>
            </w:r>
          </w:p>
          <w:p w14:paraId="6742CBD2" w14:textId="77777777" w:rsidR="00135628" w:rsidRPr="00EC1F5A" w:rsidRDefault="00135628" w:rsidP="00A4540E">
            <w:pPr>
              <w:spacing w:line="276" w:lineRule="auto"/>
              <w:rPr>
                <w:rFonts w:ascii="Arial Narrow" w:hAnsi="Arial Narrow"/>
                <w:color w:val="808080" w:themeColor="background1" w:themeShade="80"/>
                <w:spacing w:val="4"/>
                <w:sz w:val="20"/>
                <w:szCs w:val="16"/>
              </w:rPr>
            </w:pPr>
            <w:r w:rsidRPr="00EC1F5A">
              <w:rPr>
                <w:rFonts w:ascii="Arial Narrow" w:hAnsi="Arial Narrow"/>
                <w:b/>
                <w:bCs/>
                <w:color w:val="808080" w:themeColor="background1" w:themeShade="80"/>
                <w:spacing w:val="4"/>
                <w:sz w:val="20"/>
                <w:szCs w:val="16"/>
              </w:rPr>
              <w:t xml:space="preserve">Telephone </w:t>
            </w:r>
            <w:r w:rsidRPr="00EC1F5A">
              <w:rPr>
                <w:rFonts w:ascii="Arial Narrow" w:hAnsi="Arial Narrow"/>
                <w:color w:val="808080" w:themeColor="background1" w:themeShade="80"/>
                <w:spacing w:val="4"/>
                <w:sz w:val="20"/>
                <w:szCs w:val="16"/>
              </w:rPr>
              <w:t>04 915 0400</w:t>
            </w:r>
            <w:r>
              <w:rPr>
                <w:rFonts w:ascii="Arial Narrow" w:hAnsi="Arial Narrow"/>
                <w:color w:val="808080" w:themeColor="background1" w:themeShade="80"/>
                <w:spacing w:val="4"/>
                <w:sz w:val="20"/>
                <w:szCs w:val="16"/>
              </w:rPr>
              <w:t xml:space="preserve">   </w:t>
            </w:r>
            <w:r w:rsidRPr="00EC1F5A">
              <w:rPr>
                <w:rFonts w:ascii="Arial Narrow" w:hAnsi="Arial Narrow"/>
                <w:b/>
                <w:bCs/>
                <w:color w:val="808080" w:themeColor="background1" w:themeShade="80"/>
                <w:spacing w:val="4"/>
                <w:sz w:val="20"/>
                <w:szCs w:val="16"/>
              </w:rPr>
              <w:t xml:space="preserve">Freephone </w:t>
            </w:r>
            <w:r w:rsidRPr="00EC1F5A">
              <w:rPr>
                <w:rFonts w:ascii="Arial Narrow" w:hAnsi="Arial Narrow"/>
                <w:color w:val="808080" w:themeColor="background1" w:themeShade="80"/>
                <w:spacing w:val="4"/>
                <w:sz w:val="20"/>
                <w:szCs w:val="16"/>
              </w:rPr>
              <w:t>0800 805 950</w:t>
            </w:r>
          </w:p>
          <w:p w14:paraId="08922669" w14:textId="77777777" w:rsidR="00135628" w:rsidRPr="00EC1F5A" w:rsidRDefault="00135628" w:rsidP="00A4540E">
            <w:pPr>
              <w:spacing w:line="276" w:lineRule="auto"/>
              <w:rPr>
                <w:rFonts w:ascii="Arial Narrow" w:hAnsi="Arial Narrow"/>
                <w:b/>
                <w:bCs/>
                <w:color w:val="808080" w:themeColor="background1" w:themeShade="80"/>
                <w:spacing w:val="4"/>
                <w:sz w:val="20"/>
                <w:szCs w:val="16"/>
              </w:rPr>
            </w:pPr>
            <w:r w:rsidRPr="00EC1F5A">
              <w:rPr>
                <w:rFonts w:ascii="Arial Narrow" w:hAnsi="Arial Narrow"/>
                <w:b/>
                <w:bCs/>
                <w:color w:val="808080" w:themeColor="background1" w:themeShade="80"/>
                <w:spacing w:val="4"/>
                <w:sz w:val="20"/>
                <w:szCs w:val="16"/>
              </w:rPr>
              <w:t xml:space="preserve">Email </w:t>
            </w:r>
            <w:r w:rsidRPr="00EC1F5A">
              <w:rPr>
                <w:rFonts w:ascii="Arial Narrow" w:hAnsi="Arial Narrow"/>
                <w:color w:val="808080" w:themeColor="background1" w:themeShade="80"/>
                <w:spacing w:val="4"/>
                <w:sz w:val="20"/>
                <w:szCs w:val="16"/>
              </w:rPr>
              <w:t>help@bankomb.org.nz</w:t>
            </w:r>
            <w:r>
              <w:rPr>
                <w:rFonts w:ascii="Arial Narrow" w:hAnsi="Arial Narrow"/>
                <w:color w:val="808080" w:themeColor="background1" w:themeShade="80"/>
                <w:spacing w:val="4"/>
                <w:sz w:val="20"/>
                <w:szCs w:val="16"/>
              </w:rPr>
              <w:t xml:space="preserve">   </w:t>
            </w:r>
            <w:r w:rsidRPr="00EC1F5A">
              <w:rPr>
                <w:rFonts w:ascii="Arial Narrow" w:hAnsi="Arial Narrow"/>
                <w:b/>
                <w:bCs/>
                <w:color w:val="808080" w:themeColor="background1" w:themeShade="80"/>
                <w:spacing w:val="4"/>
                <w:sz w:val="20"/>
                <w:szCs w:val="16"/>
              </w:rPr>
              <w:t xml:space="preserve">Website </w:t>
            </w:r>
            <w:r w:rsidRPr="00EC1F5A">
              <w:rPr>
                <w:rFonts w:ascii="Arial Narrow" w:hAnsi="Arial Narrow"/>
                <w:color w:val="808080" w:themeColor="background1" w:themeShade="80"/>
                <w:spacing w:val="4"/>
                <w:sz w:val="20"/>
                <w:szCs w:val="16"/>
              </w:rPr>
              <w:t>www.bankomb.org.nz</w:t>
            </w:r>
          </w:p>
          <w:p w14:paraId="69D84BEE" w14:textId="77777777" w:rsidR="00135628" w:rsidRPr="00EC1F5A" w:rsidRDefault="00135628" w:rsidP="00A4540E">
            <w:pPr>
              <w:spacing w:line="276" w:lineRule="auto"/>
              <w:rPr>
                <w:rFonts w:ascii="Arial Narrow" w:hAnsi="Arial Narrow"/>
                <w:b/>
                <w:bCs/>
                <w:color w:val="808080" w:themeColor="background1" w:themeShade="80"/>
                <w:sz w:val="20"/>
                <w:szCs w:val="16"/>
              </w:rPr>
            </w:pPr>
            <w:r w:rsidRPr="00EC1F5A">
              <w:rPr>
                <w:rFonts w:ascii="Arial Narrow" w:hAnsi="Arial Narrow"/>
                <w:b/>
                <w:bCs/>
                <w:color w:val="808080" w:themeColor="background1" w:themeShade="80"/>
                <w:spacing w:val="4"/>
                <w:sz w:val="20"/>
                <w:szCs w:val="16"/>
              </w:rPr>
              <w:t xml:space="preserve">Facebook </w:t>
            </w:r>
            <w:r w:rsidRPr="00EC1F5A">
              <w:rPr>
                <w:rFonts w:ascii="Arial Narrow" w:hAnsi="Arial Narrow"/>
                <w:color w:val="808080" w:themeColor="background1" w:themeShade="80"/>
                <w:spacing w:val="4"/>
                <w:sz w:val="20"/>
                <w:szCs w:val="16"/>
              </w:rPr>
              <w:t>www.facebook.com/bankombnz</w:t>
            </w:r>
          </w:p>
        </w:tc>
      </w:tr>
    </w:tbl>
    <w:p w14:paraId="146A647B" w14:textId="16806FC8" w:rsidR="00135628" w:rsidRDefault="00135628"/>
    <w:p w14:paraId="1A094051" w14:textId="77777777" w:rsidR="00135628" w:rsidRDefault="00135628"/>
    <w:tbl>
      <w:tblPr>
        <w:tblStyle w:val="TableGrid"/>
        <w:tblW w:w="0" w:type="auto"/>
        <w:tblLook w:val="04A0" w:firstRow="1" w:lastRow="0" w:firstColumn="1" w:lastColumn="0" w:noHBand="0" w:noVBand="1"/>
      </w:tblPr>
      <w:tblGrid>
        <w:gridCol w:w="9016"/>
      </w:tblGrid>
      <w:tr w:rsidR="00FE6E01" w:rsidRPr="00FE6E01" w14:paraId="62CE5772" w14:textId="77777777" w:rsidTr="009204E7">
        <w:trPr>
          <w:trHeight w:val="759"/>
        </w:trPr>
        <w:tc>
          <w:tcPr>
            <w:tcW w:w="9016" w:type="dxa"/>
            <w:tcBorders>
              <w:top w:val="nil"/>
              <w:left w:val="nil"/>
              <w:bottom w:val="nil"/>
              <w:right w:val="nil"/>
            </w:tcBorders>
            <w:shd w:val="clear" w:color="auto" w:fill="00ACC9"/>
            <w:vAlign w:val="bottom"/>
          </w:tcPr>
          <w:p w14:paraId="2E753DBD" w14:textId="22963B32" w:rsidR="00FE6E01" w:rsidRPr="00FE6E01" w:rsidRDefault="00FE6E01" w:rsidP="00FE6E01">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t>Consultation on proposed rule changes</w:t>
            </w:r>
          </w:p>
        </w:tc>
      </w:tr>
    </w:tbl>
    <w:p w14:paraId="1324D9A2" w14:textId="77777777" w:rsidR="00FE0950" w:rsidRPr="00F421EB" w:rsidRDefault="00FE0950" w:rsidP="00DA0438">
      <w:pPr>
        <w:tabs>
          <w:tab w:val="left" w:pos="1440"/>
          <w:tab w:val="left" w:pos="5040"/>
          <w:tab w:val="left" w:pos="7200"/>
        </w:tabs>
        <w:snapToGrid w:val="0"/>
        <w:spacing w:after="200" w:line="276" w:lineRule="auto"/>
        <w:rPr>
          <w:rFonts w:ascii="Arial" w:hAnsi="Arial" w:cs="Arial"/>
          <w:b/>
          <w:sz w:val="22"/>
          <w:szCs w:val="22"/>
        </w:rPr>
      </w:pPr>
    </w:p>
    <w:p w14:paraId="07BDCD88" w14:textId="6C6AFCC2" w:rsidR="00FE0950" w:rsidRPr="00D26BA5" w:rsidRDefault="00FE0950" w:rsidP="00DA0438">
      <w:pPr>
        <w:snapToGrid w:val="0"/>
        <w:spacing w:after="200" w:line="276" w:lineRule="auto"/>
        <w:jc w:val="both"/>
        <w:rPr>
          <w:rFonts w:ascii="Arial" w:eastAsia="Cambria" w:hAnsi="Arial" w:cs="Arial"/>
          <w:sz w:val="22"/>
          <w:szCs w:val="22"/>
          <w:lang w:val="en-US"/>
        </w:rPr>
      </w:pPr>
      <w:r w:rsidRPr="00D26BA5">
        <w:rPr>
          <w:rFonts w:ascii="Arial" w:eastAsia="Cambria" w:hAnsi="Arial" w:cs="Arial"/>
          <w:sz w:val="22"/>
          <w:szCs w:val="22"/>
          <w:lang w:val="en-US"/>
        </w:rPr>
        <w:t xml:space="preserve">The Banking Ombudsman Scheme wants your </w:t>
      </w:r>
      <w:r w:rsidR="00AB09B2">
        <w:rPr>
          <w:rFonts w:ascii="Arial" w:eastAsia="Cambria" w:hAnsi="Arial" w:cs="Arial"/>
          <w:sz w:val="22"/>
          <w:szCs w:val="22"/>
          <w:lang w:val="en-US"/>
        </w:rPr>
        <w:t>views on</w:t>
      </w:r>
      <w:r w:rsidRPr="00D26BA5">
        <w:rPr>
          <w:rFonts w:ascii="Arial" w:eastAsia="Cambria" w:hAnsi="Arial" w:cs="Arial"/>
          <w:sz w:val="22"/>
          <w:szCs w:val="22"/>
          <w:lang w:val="en-US"/>
        </w:rPr>
        <w:t xml:space="preserve"> suggested amendments to the way it works.</w:t>
      </w:r>
    </w:p>
    <w:p w14:paraId="17829E4B" w14:textId="5A0F256F" w:rsidR="00FE0950" w:rsidRPr="00D26BA5" w:rsidRDefault="00914F0C" w:rsidP="00DA0438">
      <w:pPr>
        <w:snapToGrid w:val="0"/>
        <w:spacing w:after="200" w:line="276" w:lineRule="auto"/>
        <w:jc w:val="both"/>
        <w:rPr>
          <w:rFonts w:ascii="Arial" w:eastAsia="Cambria" w:hAnsi="Arial" w:cs="Arial"/>
          <w:sz w:val="22"/>
          <w:szCs w:val="22"/>
          <w:lang w:val="en-US"/>
        </w:rPr>
      </w:pPr>
      <w:r>
        <w:rPr>
          <w:rFonts w:ascii="Arial" w:eastAsia="Cambria" w:hAnsi="Arial" w:cs="Arial"/>
          <w:sz w:val="22"/>
          <w:szCs w:val="22"/>
          <w:lang w:val="en-US"/>
        </w:rPr>
        <w:t>This year</w:t>
      </w:r>
      <w:r w:rsidR="00FE0950" w:rsidRPr="00D26BA5">
        <w:rPr>
          <w:rFonts w:ascii="Arial" w:eastAsia="Cambria" w:hAnsi="Arial" w:cs="Arial"/>
          <w:sz w:val="22"/>
          <w:szCs w:val="22"/>
          <w:lang w:val="en-US"/>
        </w:rPr>
        <w:t>, consultan</w:t>
      </w:r>
      <w:r>
        <w:rPr>
          <w:rFonts w:ascii="Arial" w:eastAsia="Cambria" w:hAnsi="Arial" w:cs="Arial"/>
          <w:sz w:val="22"/>
          <w:szCs w:val="22"/>
          <w:lang w:val="en-US"/>
        </w:rPr>
        <w:t>t</w:t>
      </w:r>
      <w:r w:rsidR="00FE0950" w:rsidRPr="00D26BA5">
        <w:rPr>
          <w:rFonts w:ascii="Arial" w:eastAsia="Cambria" w:hAnsi="Arial" w:cs="Arial"/>
          <w:sz w:val="22"/>
          <w:szCs w:val="22"/>
          <w:lang w:val="en-US"/>
        </w:rPr>
        <w:t xml:space="preserve"> </w:t>
      </w:r>
      <w:r w:rsidRPr="00914F0C">
        <w:rPr>
          <w:rFonts w:ascii="Arial" w:eastAsia="Cambria" w:hAnsi="Arial" w:cs="Arial"/>
          <w:sz w:val="22"/>
          <w:szCs w:val="22"/>
          <w:lang w:val="en-US"/>
        </w:rPr>
        <w:t>Deborah Hart</w:t>
      </w:r>
      <w:r w:rsidR="00FE0950" w:rsidRPr="00D26BA5">
        <w:rPr>
          <w:rFonts w:ascii="Arial" w:eastAsia="Cambria" w:hAnsi="Arial" w:cs="Arial"/>
          <w:sz w:val="22"/>
          <w:szCs w:val="22"/>
          <w:lang w:val="en-US"/>
        </w:rPr>
        <w:t xml:space="preserve"> reviewed the scheme to meet a requirement of the Financial Service Providers (Registration and Dispute Resolution) Act 2008 that approved external dispute resolution schemes conduct regular evaluations of their operations.</w:t>
      </w:r>
    </w:p>
    <w:p w14:paraId="08FF6C74" w14:textId="76BB3F44" w:rsidR="00FE0950" w:rsidRPr="00295CDD" w:rsidRDefault="00FE0950" w:rsidP="00DA0438">
      <w:pPr>
        <w:snapToGrid w:val="0"/>
        <w:spacing w:after="200" w:line="276" w:lineRule="auto"/>
        <w:jc w:val="both"/>
        <w:rPr>
          <w:rFonts w:ascii="Arial" w:eastAsia="Cambria" w:hAnsi="Arial" w:cs="Arial"/>
          <w:sz w:val="22"/>
          <w:szCs w:val="22"/>
          <w:lang w:val="en-US"/>
        </w:rPr>
      </w:pPr>
      <w:r w:rsidRPr="00D26BA5">
        <w:rPr>
          <w:rFonts w:ascii="Arial" w:eastAsia="Cambria" w:hAnsi="Arial" w:cs="Arial"/>
          <w:sz w:val="22"/>
          <w:szCs w:val="22"/>
          <w:lang w:val="en-US"/>
        </w:rPr>
        <w:t>The independent review’s</w:t>
      </w:r>
      <w:r w:rsidR="00914F0C">
        <w:rPr>
          <w:rFonts w:ascii="Arial" w:eastAsia="Cambria" w:hAnsi="Arial" w:cs="Arial"/>
          <w:sz w:val="22"/>
          <w:szCs w:val="22"/>
          <w:lang w:val="en-US"/>
        </w:rPr>
        <w:t xml:space="preserve"> </w:t>
      </w:r>
      <w:hyperlink r:id="rId10" w:history="1">
        <w:r w:rsidR="00914F0C">
          <w:rPr>
            <w:rStyle w:val="Hyperlink"/>
            <w:rFonts w:ascii="Arial" w:eastAsia="Cambria" w:hAnsi="Arial" w:cs="Arial"/>
            <w:sz w:val="22"/>
            <w:szCs w:val="22"/>
            <w:lang w:val="en-US"/>
          </w:rPr>
          <w:t>report</w:t>
        </w:r>
      </w:hyperlink>
      <w:r w:rsidR="00914F0C">
        <w:rPr>
          <w:rFonts w:ascii="Arial" w:eastAsia="Cambria" w:hAnsi="Arial" w:cs="Arial"/>
          <w:sz w:val="22"/>
          <w:szCs w:val="22"/>
          <w:lang w:val="en-US"/>
        </w:rPr>
        <w:t xml:space="preserve"> </w:t>
      </w:r>
      <w:r w:rsidRPr="00D26BA5">
        <w:rPr>
          <w:rFonts w:ascii="Arial" w:eastAsia="Cambria" w:hAnsi="Arial" w:cs="Arial"/>
          <w:sz w:val="22"/>
          <w:szCs w:val="22"/>
          <w:lang w:val="en-US"/>
        </w:rPr>
        <w:t xml:space="preserve">made </w:t>
      </w:r>
      <w:r w:rsidR="00914F0C">
        <w:rPr>
          <w:rFonts w:ascii="Arial" w:eastAsia="Cambria" w:hAnsi="Arial" w:cs="Arial"/>
          <w:sz w:val="22"/>
          <w:szCs w:val="22"/>
          <w:lang w:val="en-US"/>
        </w:rPr>
        <w:t>eleven</w:t>
      </w:r>
      <w:r w:rsidRPr="00D26BA5">
        <w:rPr>
          <w:rFonts w:ascii="Arial" w:eastAsia="Cambria" w:hAnsi="Arial" w:cs="Arial"/>
          <w:sz w:val="22"/>
          <w:szCs w:val="22"/>
          <w:lang w:val="en-US"/>
        </w:rPr>
        <w:t xml:space="preserve"> recommendations. </w:t>
      </w:r>
      <w:r w:rsidR="00914F0C">
        <w:rPr>
          <w:rFonts w:ascii="Arial" w:eastAsia="Cambria" w:hAnsi="Arial" w:cs="Arial"/>
          <w:sz w:val="22"/>
          <w:szCs w:val="22"/>
          <w:lang w:val="en-US"/>
        </w:rPr>
        <w:t>Four</w:t>
      </w:r>
      <w:r w:rsidRPr="00D26BA5">
        <w:rPr>
          <w:rFonts w:ascii="Arial" w:eastAsia="Cambria" w:hAnsi="Arial" w:cs="Arial"/>
          <w:sz w:val="22"/>
          <w:szCs w:val="22"/>
          <w:lang w:val="en-US"/>
        </w:rPr>
        <w:t xml:space="preserve">, if implemented, would require changes to the scheme’s </w:t>
      </w:r>
      <w:hyperlink r:id="rId11" w:history="1">
        <w:r w:rsidR="00914F0C" w:rsidRPr="00295CDD">
          <w:rPr>
            <w:rStyle w:val="Hyperlink"/>
            <w:rFonts w:ascii="Arial" w:eastAsia="Cambria" w:hAnsi="Arial" w:cs="Arial"/>
            <w:sz w:val="22"/>
            <w:szCs w:val="22"/>
            <w:lang w:val="en-US"/>
          </w:rPr>
          <w:t>terms of reference</w:t>
        </w:r>
      </w:hyperlink>
      <w:r w:rsidR="00914F0C" w:rsidRPr="00295CDD">
        <w:rPr>
          <w:rFonts w:ascii="Arial" w:eastAsia="Cambria" w:hAnsi="Arial" w:cs="Arial"/>
          <w:sz w:val="22"/>
          <w:szCs w:val="22"/>
          <w:lang w:val="en-US"/>
        </w:rPr>
        <w:t xml:space="preserve"> </w:t>
      </w:r>
      <w:r w:rsidRPr="00295CDD">
        <w:rPr>
          <w:rFonts w:ascii="Arial" w:eastAsia="Cambria" w:hAnsi="Arial" w:cs="Arial"/>
          <w:sz w:val="22"/>
          <w:szCs w:val="22"/>
          <w:lang w:val="en-US"/>
        </w:rPr>
        <w:t>(“rules”).</w:t>
      </w:r>
      <w:r w:rsidRPr="00295CDD">
        <w:rPr>
          <w:rFonts w:ascii="Arial" w:eastAsia="Cambria" w:hAnsi="Arial" w:cs="Arial"/>
          <w:sz w:val="22"/>
          <w:szCs w:val="22"/>
          <w:vertAlign w:val="superscript"/>
          <w:lang w:val="en-US"/>
        </w:rPr>
        <w:footnoteReference w:id="1"/>
      </w:r>
      <w:r w:rsidRPr="00295CDD">
        <w:rPr>
          <w:rFonts w:ascii="Arial" w:eastAsia="Cambria" w:hAnsi="Arial" w:cs="Arial"/>
          <w:sz w:val="22"/>
          <w:szCs w:val="22"/>
          <w:lang w:val="en-US"/>
        </w:rPr>
        <w:t xml:space="preserve"> </w:t>
      </w:r>
      <w:r w:rsidR="00AB09B2" w:rsidRPr="00295CDD">
        <w:rPr>
          <w:rFonts w:ascii="Arial" w:eastAsia="Cambria" w:hAnsi="Arial" w:cs="Arial"/>
          <w:sz w:val="22"/>
          <w:szCs w:val="22"/>
          <w:lang w:val="en-US"/>
        </w:rPr>
        <w:t xml:space="preserve">The scheme’s board supports the </w:t>
      </w:r>
      <w:r w:rsidR="003C41DD">
        <w:rPr>
          <w:rFonts w:ascii="Arial" w:eastAsia="Cambria" w:hAnsi="Arial" w:cs="Arial"/>
          <w:sz w:val="22"/>
          <w:szCs w:val="22"/>
          <w:lang w:val="en-US"/>
        </w:rPr>
        <w:t>recommendations</w:t>
      </w:r>
      <w:r w:rsidR="00AB09B2" w:rsidRPr="00295CDD">
        <w:rPr>
          <w:rFonts w:ascii="Arial" w:eastAsia="Cambria" w:hAnsi="Arial" w:cs="Arial"/>
          <w:sz w:val="22"/>
          <w:szCs w:val="22"/>
          <w:lang w:val="en-US"/>
        </w:rPr>
        <w:t xml:space="preserve"> (see its</w:t>
      </w:r>
      <w:r w:rsidR="003C41DD">
        <w:rPr>
          <w:rFonts w:ascii="Arial" w:eastAsia="Cambria" w:hAnsi="Arial" w:cs="Arial"/>
          <w:sz w:val="22"/>
          <w:szCs w:val="22"/>
          <w:lang w:val="en-US"/>
        </w:rPr>
        <w:t xml:space="preserve"> </w:t>
      </w:r>
      <w:hyperlink r:id="rId12" w:history="1">
        <w:r w:rsidR="003C41DD" w:rsidRPr="003C41DD">
          <w:rPr>
            <w:rStyle w:val="Hyperlink"/>
            <w:rFonts w:ascii="Arial" w:eastAsia="Cambria" w:hAnsi="Arial" w:cs="Arial"/>
            <w:sz w:val="22"/>
            <w:szCs w:val="22"/>
            <w:lang w:val="en-US"/>
          </w:rPr>
          <w:t>preliminary response</w:t>
        </w:r>
      </w:hyperlink>
      <w:r w:rsidR="00AB09B2" w:rsidRPr="003C41DD">
        <w:rPr>
          <w:rFonts w:ascii="Arial" w:eastAsia="Cambria" w:hAnsi="Arial" w:cs="Arial"/>
          <w:color w:val="0000FF"/>
          <w:sz w:val="22"/>
          <w:szCs w:val="22"/>
          <w:u w:val="single"/>
          <w:lang w:val="en-US"/>
        </w:rPr>
        <w:t>)</w:t>
      </w:r>
      <w:r w:rsidR="00AB09B2" w:rsidRPr="003C41DD">
        <w:rPr>
          <w:rFonts w:ascii="Arial" w:eastAsia="Cambria" w:hAnsi="Arial" w:cs="Arial"/>
          <w:sz w:val="22"/>
          <w:szCs w:val="22"/>
          <w:lang w:val="en-US"/>
        </w:rPr>
        <w:t>.</w:t>
      </w:r>
      <w:r w:rsidR="00AB09B2" w:rsidRPr="00295CDD">
        <w:rPr>
          <w:rFonts w:ascii="Arial" w:eastAsia="Cambria" w:hAnsi="Arial" w:cs="Arial"/>
          <w:sz w:val="22"/>
          <w:szCs w:val="22"/>
          <w:lang w:val="en-US"/>
        </w:rPr>
        <w:t xml:space="preserve"> </w:t>
      </w:r>
      <w:r w:rsidRPr="00295CDD">
        <w:rPr>
          <w:rFonts w:ascii="Arial" w:eastAsia="Cambria" w:hAnsi="Arial" w:cs="Arial"/>
          <w:sz w:val="22"/>
          <w:szCs w:val="22"/>
          <w:lang w:val="en-US"/>
        </w:rPr>
        <w:t xml:space="preserve">The scheme would like your views on </w:t>
      </w:r>
      <w:r w:rsidR="005B513D" w:rsidRPr="00295CDD">
        <w:rPr>
          <w:rFonts w:ascii="Arial" w:eastAsia="Cambria" w:hAnsi="Arial" w:cs="Arial"/>
          <w:sz w:val="22"/>
          <w:szCs w:val="22"/>
          <w:lang w:val="en-US"/>
        </w:rPr>
        <w:t xml:space="preserve">the proposed changes to the </w:t>
      </w:r>
      <w:proofErr w:type="gramStart"/>
      <w:r w:rsidR="005B513D" w:rsidRPr="00295CDD">
        <w:rPr>
          <w:rFonts w:ascii="Arial" w:eastAsia="Cambria" w:hAnsi="Arial" w:cs="Arial"/>
          <w:sz w:val="22"/>
          <w:szCs w:val="22"/>
          <w:lang w:val="en-US"/>
        </w:rPr>
        <w:t>scheme</w:t>
      </w:r>
      <w:proofErr w:type="gramEnd"/>
      <w:r w:rsidR="005B513D" w:rsidRPr="00295CDD">
        <w:rPr>
          <w:rFonts w:ascii="Arial" w:eastAsia="Cambria" w:hAnsi="Arial" w:cs="Arial"/>
          <w:sz w:val="22"/>
          <w:szCs w:val="22"/>
          <w:lang w:val="en-US"/>
        </w:rPr>
        <w:t xml:space="preserve"> rules</w:t>
      </w:r>
      <w:r w:rsidRPr="00295CDD">
        <w:rPr>
          <w:rFonts w:ascii="Arial" w:eastAsia="Cambria" w:hAnsi="Arial" w:cs="Arial"/>
          <w:sz w:val="22"/>
          <w:szCs w:val="22"/>
          <w:lang w:val="en-US"/>
        </w:rPr>
        <w:t xml:space="preserve">. </w:t>
      </w:r>
    </w:p>
    <w:p w14:paraId="26212D6C" w14:textId="125EA812" w:rsidR="00FE0950" w:rsidRPr="00295CDD" w:rsidRDefault="00FE0950" w:rsidP="00AB09B2">
      <w:pPr>
        <w:snapToGrid w:val="0"/>
        <w:spacing w:after="200" w:line="276" w:lineRule="auto"/>
        <w:jc w:val="both"/>
        <w:rPr>
          <w:rFonts w:ascii="Arial" w:eastAsia="Cambria" w:hAnsi="Arial" w:cs="Arial"/>
          <w:sz w:val="22"/>
          <w:szCs w:val="22"/>
          <w:lang w:val="en-US"/>
        </w:rPr>
      </w:pPr>
      <w:r w:rsidRPr="00295CDD">
        <w:rPr>
          <w:rFonts w:ascii="Arial" w:eastAsia="Cambria" w:hAnsi="Arial" w:cs="Arial"/>
          <w:sz w:val="22"/>
          <w:szCs w:val="22"/>
          <w:lang w:val="en-US"/>
        </w:rPr>
        <w:t>In this discussion document you will find a brief explanation of each</w:t>
      </w:r>
      <w:r w:rsidR="004724AB" w:rsidRPr="00295CDD">
        <w:rPr>
          <w:rFonts w:ascii="Arial" w:eastAsia="Cambria" w:hAnsi="Arial" w:cs="Arial"/>
          <w:sz w:val="22"/>
          <w:szCs w:val="22"/>
          <w:lang w:val="en-US"/>
        </w:rPr>
        <w:t xml:space="preserve"> recommendation</w:t>
      </w:r>
      <w:r w:rsidRPr="00295CDD">
        <w:rPr>
          <w:rFonts w:ascii="Arial" w:eastAsia="Cambria" w:hAnsi="Arial" w:cs="Arial"/>
          <w:sz w:val="22"/>
          <w:szCs w:val="22"/>
          <w:lang w:val="en-US"/>
        </w:rPr>
        <w:t xml:space="preserve">, </w:t>
      </w:r>
      <w:r w:rsidR="00E062FC" w:rsidRPr="00295CDD">
        <w:rPr>
          <w:rFonts w:ascii="Arial" w:eastAsia="Cambria" w:hAnsi="Arial" w:cs="Arial"/>
          <w:sz w:val="22"/>
          <w:szCs w:val="22"/>
          <w:lang w:val="en-US"/>
        </w:rPr>
        <w:t xml:space="preserve">any </w:t>
      </w:r>
      <w:r w:rsidRPr="00295CDD">
        <w:rPr>
          <w:rFonts w:ascii="Arial" w:eastAsia="Cambria" w:hAnsi="Arial" w:cs="Arial"/>
          <w:sz w:val="22"/>
          <w:szCs w:val="22"/>
          <w:lang w:val="en-US"/>
        </w:rPr>
        <w:t>relevant background</w:t>
      </w:r>
      <w:r w:rsidR="005B513D" w:rsidRPr="00295CDD">
        <w:rPr>
          <w:rFonts w:ascii="Arial" w:eastAsia="Cambria" w:hAnsi="Arial" w:cs="Arial"/>
          <w:sz w:val="22"/>
          <w:szCs w:val="22"/>
          <w:lang w:val="en-US"/>
        </w:rPr>
        <w:t xml:space="preserve"> and </w:t>
      </w:r>
      <w:r w:rsidR="004724AB" w:rsidRPr="00295CDD">
        <w:rPr>
          <w:rFonts w:ascii="Arial" w:eastAsia="Cambria" w:hAnsi="Arial" w:cs="Arial"/>
          <w:sz w:val="22"/>
          <w:szCs w:val="22"/>
          <w:lang w:val="en-US"/>
        </w:rPr>
        <w:t>options</w:t>
      </w:r>
      <w:r w:rsidRPr="00295CDD">
        <w:rPr>
          <w:rFonts w:ascii="Arial" w:eastAsia="Cambria" w:hAnsi="Arial" w:cs="Arial"/>
          <w:sz w:val="22"/>
          <w:szCs w:val="22"/>
          <w:lang w:val="en-US"/>
        </w:rPr>
        <w:t>.</w:t>
      </w:r>
      <w:r w:rsidR="00AB09B2" w:rsidRPr="00295CDD">
        <w:rPr>
          <w:rFonts w:ascii="Arial" w:eastAsia="Cambria" w:hAnsi="Arial" w:cs="Arial"/>
          <w:sz w:val="22"/>
          <w:szCs w:val="22"/>
          <w:lang w:val="en-US"/>
        </w:rPr>
        <w:t xml:space="preserve"> </w:t>
      </w:r>
      <w:r w:rsidR="005B513D" w:rsidRPr="00295CDD">
        <w:rPr>
          <w:rFonts w:ascii="Arial" w:eastAsia="Cambria" w:hAnsi="Arial" w:cs="Arial"/>
          <w:sz w:val="22"/>
          <w:szCs w:val="22"/>
          <w:lang w:val="en-US"/>
        </w:rPr>
        <w:t xml:space="preserve"> </w:t>
      </w:r>
      <w:proofErr w:type="gramStart"/>
      <w:r w:rsidR="00AB09B2" w:rsidRPr="00295CDD">
        <w:rPr>
          <w:rFonts w:ascii="Arial" w:eastAsia="Cambria" w:hAnsi="Arial" w:cs="Arial"/>
          <w:sz w:val="22"/>
          <w:szCs w:val="22"/>
          <w:lang w:val="en-US"/>
        </w:rPr>
        <w:t>Taking into account</w:t>
      </w:r>
      <w:proofErr w:type="gramEnd"/>
      <w:r w:rsidR="00AB09B2" w:rsidRPr="00295CDD">
        <w:rPr>
          <w:rFonts w:ascii="Arial" w:eastAsia="Cambria" w:hAnsi="Arial" w:cs="Arial"/>
          <w:sz w:val="22"/>
          <w:szCs w:val="22"/>
          <w:lang w:val="en-US"/>
        </w:rPr>
        <w:t xml:space="preserve"> feedback</w:t>
      </w:r>
      <w:r w:rsidRPr="00295CDD">
        <w:rPr>
          <w:rFonts w:ascii="Arial" w:eastAsia="Cambria" w:hAnsi="Arial" w:cs="Arial"/>
          <w:sz w:val="22"/>
          <w:szCs w:val="22"/>
          <w:lang w:val="en-US"/>
        </w:rPr>
        <w:t xml:space="preserve"> </w:t>
      </w:r>
      <w:r w:rsidR="00E062FC" w:rsidRPr="00295CDD">
        <w:rPr>
          <w:rFonts w:ascii="Arial" w:eastAsia="Cambria" w:hAnsi="Arial" w:cs="Arial"/>
          <w:sz w:val="22"/>
          <w:szCs w:val="22"/>
          <w:lang w:val="en-US"/>
        </w:rPr>
        <w:t xml:space="preserve">from </w:t>
      </w:r>
      <w:r w:rsidRPr="00295CDD">
        <w:rPr>
          <w:rFonts w:ascii="Arial" w:eastAsia="Cambria" w:hAnsi="Arial" w:cs="Arial"/>
          <w:sz w:val="22"/>
          <w:szCs w:val="22"/>
          <w:lang w:val="en-US"/>
        </w:rPr>
        <w:t xml:space="preserve">stakeholders, the board will decide which rules to change. Following that decision, expected in </w:t>
      </w:r>
      <w:r w:rsidR="00914F0C" w:rsidRPr="00295CDD">
        <w:rPr>
          <w:rFonts w:ascii="Arial" w:eastAsia="Cambria" w:hAnsi="Arial" w:cs="Arial"/>
          <w:sz w:val="22"/>
          <w:szCs w:val="22"/>
          <w:lang w:val="en-US"/>
        </w:rPr>
        <w:t>early 202</w:t>
      </w:r>
      <w:r w:rsidR="00E062FC" w:rsidRPr="00295CDD">
        <w:rPr>
          <w:rFonts w:ascii="Arial" w:eastAsia="Cambria" w:hAnsi="Arial" w:cs="Arial"/>
          <w:sz w:val="22"/>
          <w:szCs w:val="22"/>
          <w:lang w:val="en-US"/>
        </w:rPr>
        <w:t>5</w:t>
      </w:r>
      <w:r w:rsidRPr="00295CDD">
        <w:rPr>
          <w:rFonts w:ascii="Arial" w:eastAsia="Cambria" w:hAnsi="Arial" w:cs="Arial"/>
          <w:sz w:val="22"/>
          <w:szCs w:val="22"/>
          <w:lang w:val="en-US"/>
        </w:rPr>
        <w:t xml:space="preserve">, new rules will </w:t>
      </w:r>
      <w:r w:rsidR="003C41DD">
        <w:rPr>
          <w:rFonts w:ascii="Arial" w:eastAsia="Cambria" w:hAnsi="Arial" w:cs="Arial"/>
          <w:sz w:val="22"/>
          <w:szCs w:val="22"/>
          <w:lang w:val="en-US"/>
        </w:rPr>
        <w:t xml:space="preserve">be </w:t>
      </w:r>
      <w:r w:rsidR="00AB09B2" w:rsidRPr="00295CDD">
        <w:rPr>
          <w:rFonts w:ascii="Arial" w:eastAsia="Cambria" w:hAnsi="Arial" w:cs="Arial"/>
          <w:sz w:val="22"/>
          <w:szCs w:val="22"/>
          <w:lang w:val="en-US"/>
        </w:rPr>
        <w:t>published</w:t>
      </w:r>
      <w:r w:rsidRPr="00295CDD">
        <w:rPr>
          <w:rFonts w:ascii="Arial" w:eastAsia="Cambria" w:hAnsi="Arial" w:cs="Arial"/>
          <w:sz w:val="22"/>
          <w:szCs w:val="22"/>
          <w:lang w:val="en-US"/>
        </w:rPr>
        <w:t xml:space="preserve">. </w:t>
      </w:r>
    </w:p>
    <w:p w14:paraId="6AD77D1A" w14:textId="6273CC12" w:rsidR="00FE0950" w:rsidRPr="00D26BA5" w:rsidRDefault="00FE0950" w:rsidP="00DA0438">
      <w:pPr>
        <w:snapToGrid w:val="0"/>
        <w:spacing w:after="200" w:line="276" w:lineRule="auto"/>
        <w:jc w:val="both"/>
        <w:rPr>
          <w:rFonts w:ascii="Arial" w:eastAsia="Cambria" w:hAnsi="Arial" w:cs="Arial"/>
          <w:sz w:val="22"/>
          <w:szCs w:val="22"/>
          <w:lang w:val="en-US"/>
        </w:rPr>
      </w:pPr>
      <w:r w:rsidRPr="00295CDD">
        <w:rPr>
          <w:rFonts w:ascii="Arial" w:eastAsia="Cambria" w:hAnsi="Arial" w:cs="Arial"/>
          <w:sz w:val="22"/>
          <w:szCs w:val="22"/>
          <w:lang w:val="en-US"/>
        </w:rPr>
        <w:t xml:space="preserve">The deadline for comment is </w:t>
      </w:r>
      <w:r w:rsidR="00295CDD">
        <w:rPr>
          <w:rFonts w:ascii="Arial" w:eastAsia="Cambria" w:hAnsi="Arial" w:cs="Arial"/>
          <w:sz w:val="22"/>
          <w:szCs w:val="22"/>
          <w:lang w:val="en-US"/>
        </w:rPr>
        <w:t>13 December 2024</w:t>
      </w:r>
      <w:r w:rsidRPr="00295CDD">
        <w:rPr>
          <w:rFonts w:ascii="Arial" w:eastAsia="Cambria" w:hAnsi="Arial" w:cs="Arial"/>
          <w:sz w:val="22"/>
          <w:szCs w:val="22"/>
          <w:lang w:val="en-US"/>
        </w:rPr>
        <w:t xml:space="preserve">. Submissions </w:t>
      </w:r>
      <w:r w:rsidR="00E062FC" w:rsidRPr="00295CDD">
        <w:rPr>
          <w:rFonts w:ascii="Arial" w:eastAsia="Cambria" w:hAnsi="Arial" w:cs="Arial"/>
          <w:sz w:val="22"/>
          <w:szCs w:val="22"/>
          <w:lang w:val="en-US"/>
        </w:rPr>
        <w:t>may</w:t>
      </w:r>
      <w:r w:rsidRPr="00295CDD">
        <w:rPr>
          <w:rFonts w:ascii="Arial" w:eastAsia="Cambria" w:hAnsi="Arial" w:cs="Arial"/>
          <w:sz w:val="22"/>
          <w:szCs w:val="22"/>
          <w:lang w:val="en-US"/>
        </w:rPr>
        <w:t xml:space="preserve"> be published on the scheme’s website. If you don’t want your submission published, mark it “confidential”.</w:t>
      </w:r>
      <w:r w:rsidRPr="00D26BA5">
        <w:rPr>
          <w:rFonts w:ascii="Arial" w:eastAsia="Cambria" w:hAnsi="Arial" w:cs="Arial"/>
          <w:sz w:val="22"/>
          <w:szCs w:val="22"/>
          <w:lang w:val="en-US"/>
        </w:rPr>
        <w:t xml:space="preserve"> </w:t>
      </w:r>
    </w:p>
    <w:p w14:paraId="67E74548" w14:textId="77777777" w:rsidR="00FE0950" w:rsidRPr="00D26BA5" w:rsidRDefault="00FE0950" w:rsidP="00DA0438">
      <w:pPr>
        <w:snapToGrid w:val="0"/>
        <w:spacing w:after="200" w:line="276" w:lineRule="auto"/>
        <w:jc w:val="both"/>
        <w:rPr>
          <w:rFonts w:ascii="Arial" w:eastAsia="Cambria" w:hAnsi="Arial" w:cs="Arial"/>
          <w:sz w:val="22"/>
          <w:szCs w:val="22"/>
          <w:lang w:val="en-US"/>
        </w:rPr>
      </w:pPr>
      <w:r w:rsidRPr="00D26BA5">
        <w:rPr>
          <w:rFonts w:ascii="Arial" w:eastAsia="Cambria" w:hAnsi="Arial" w:cs="Arial"/>
          <w:sz w:val="22"/>
          <w:szCs w:val="22"/>
          <w:lang w:val="en-US"/>
        </w:rPr>
        <w:t xml:space="preserve">Email submissions to </w:t>
      </w:r>
      <w:hyperlink r:id="rId13" w:history="1">
        <w:r w:rsidR="00BE40DB" w:rsidRPr="00E26911">
          <w:rPr>
            <w:rStyle w:val="Hyperlink"/>
            <w:rFonts w:ascii="Arial" w:eastAsia="Cambria" w:hAnsi="Arial" w:cs="Arial"/>
            <w:sz w:val="22"/>
            <w:szCs w:val="22"/>
            <w:lang w:val="en-US"/>
          </w:rPr>
          <w:t>Nicola.Sladden@bankomb.org.nz</w:t>
        </w:r>
      </w:hyperlink>
      <w:r w:rsidR="00020FCF">
        <w:rPr>
          <w:rFonts w:ascii="Arial" w:eastAsia="Cambria" w:hAnsi="Arial" w:cs="Arial"/>
          <w:color w:val="0000FF"/>
          <w:sz w:val="22"/>
          <w:szCs w:val="22"/>
          <w:u w:val="single"/>
          <w:lang w:val="en-US"/>
        </w:rPr>
        <w:t xml:space="preserve"> </w:t>
      </w:r>
    </w:p>
    <w:p w14:paraId="2E59B84B" w14:textId="559FBF36" w:rsidR="00FE0950" w:rsidRPr="00D26BA5" w:rsidRDefault="00FE0950" w:rsidP="00DA0438">
      <w:pPr>
        <w:snapToGrid w:val="0"/>
        <w:spacing w:after="200" w:line="276" w:lineRule="auto"/>
        <w:jc w:val="both"/>
        <w:rPr>
          <w:rFonts w:ascii="Arial" w:eastAsia="Cambria" w:hAnsi="Arial" w:cs="Arial"/>
          <w:sz w:val="22"/>
          <w:szCs w:val="22"/>
          <w:lang w:val="en-US"/>
        </w:rPr>
      </w:pPr>
      <w:r w:rsidRPr="00D26BA5">
        <w:rPr>
          <w:rFonts w:ascii="Arial" w:eastAsia="Cambria" w:hAnsi="Arial" w:cs="Arial"/>
          <w:sz w:val="22"/>
          <w:szCs w:val="22"/>
          <w:lang w:val="en-US"/>
        </w:rPr>
        <w:t>For questions, call Nicola Sladden on (0</w:t>
      </w:r>
      <w:r w:rsidR="00295CDD">
        <w:rPr>
          <w:rFonts w:ascii="Arial" w:eastAsia="Cambria" w:hAnsi="Arial" w:cs="Arial"/>
          <w:sz w:val="22"/>
          <w:szCs w:val="22"/>
          <w:lang w:val="en-US"/>
        </w:rPr>
        <w:t>21</w:t>
      </w:r>
      <w:r w:rsidRPr="00D26BA5">
        <w:rPr>
          <w:rFonts w:ascii="Arial" w:eastAsia="Cambria" w:hAnsi="Arial" w:cs="Arial"/>
          <w:sz w:val="22"/>
          <w:szCs w:val="22"/>
          <w:lang w:val="en-US"/>
        </w:rPr>
        <w:t xml:space="preserve">) </w:t>
      </w:r>
      <w:r w:rsidR="00295CDD">
        <w:rPr>
          <w:rFonts w:ascii="Arial" w:eastAsia="Cambria" w:hAnsi="Arial" w:cs="Arial"/>
          <w:sz w:val="22"/>
          <w:szCs w:val="22"/>
          <w:lang w:val="en-US"/>
        </w:rPr>
        <w:t>808</w:t>
      </w:r>
      <w:r w:rsidR="00247FF3">
        <w:rPr>
          <w:rFonts w:ascii="Arial" w:eastAsia="Cambria" w:hAnsi="Arial" w:cs="Arial"/>
          <w:sz w:val="22"/>
          <w:szCs w:val="22"/>
          <w:lang w:val="en-US"/>
        </w:rPr>
        <w:t xml:space="preserve"> </w:t>
      </w:r>
      <w:r w:rsidR="00295CDD">
        <w:rPr>
          <w:rFonts w:ascii="Arial" w:eastAsia="Cambria" w:hAnsi="Arial" w:cs="Arial"/>
          <w:sz w:val="22"/>
          <w:szCs w:val="22"/>
          <w:lang w:val="en-US"/>
        </w:rPr>
        <w:t>059</w:t>
      </w:r>
      <w:r w:rsidR="00247FF3">
        <w:rPr>
          <w:rFonts w:ascii="Arial" w:eastAsia="Cambria" w:hAnsi="Arial" w:cs="Arial"/>
          <w:sz w:val="22"/>
          <w:szCs w:val="22"/>
          <w:lang w:val="en-US"/>
        </w:rPr>
        <w:t>.</w:t>
      </w:r>
    </w:p>
    <w:p w14:paraId="1312B558" w14:textId="2AE45942" w:rsidR="00FE6E01" w:rsidRPr="00024453" w:rsidRDefault="00FE0950" w:rsidP="00DA0438">
      <w:pPr>
        <w:snapToGrid w:val="0"/>
        <w:spacing w:after="200" w:line="276" w:lineRule="auto"/>
        <w:rPr>
          <w:rFonts w:ascii="Arial" w:hAnsi="Arial" w:cs="Arial"/>
          <w:b/>
          <w:color w:val="000000"/>
          <w:lang w:val="en-US" w:eastAsia="en-NZ"/>
        </w:rPr>
      </w:pPr>
      <w:r w:rsidRPr="00D26BA5">
        <w:rPr>
          <w:rFonts w:ascii="Arial" w:eastAsia="Cambria" w:hAnsi="Arial" w:cs="Arial"/>
          <w:lang w:val="en-US"/>
        </w:rPr>
        <w:br w:type="page"/>
      </w:r>
    </w:p>
    <w:tbl>
      <w:tblPr>
        <w:tblStyle w:val="TableGrid"/>
        <w:tblW w:w="0" w:type="auto"/>
        <w:tblLook w:val="04A0" w:firstRow="1" w:lastRow="0" w:firstColumn="1" w:lastColumn="0" w:noHBand="0" w:noVBand="1"/>
      </w:tblPr>
      <w:tblGrid>
        <w:gridCol w:w="9016"/>
      </w:tblGrid>
      <w:tr w:rsidR="00FE6E01" w:rsidRPr="00FE6E01" w14:paraId="2131E7F3" w14:textId="77777777" w:rsidTr="009204E7">
        <w:trPr>
          <w:trHeight w:val="759"/>
        </w:trPr>
        <w:tc>
          <w:tcPr>
            <w:tcW w:w="9016" w:type="dxa"/>
            <w:tcBorders>
              <w:top w:val="nil"/>
              <w:left w:val="nil"/>
              <w:bottom w:val="nil"/>
              <w:right w:val="nil"/>
            </w:tcBorders>
            <w:shd w:val="clear" w:color="auto" w:fill="00ACC9"/>
            <w:vAlign w:val="bottom"/>
          </w:tcPr>
          <w:p w14:paraId="4FC3AF89" w14:textId="6640C277" w:rsidR="00FE6E01" w:rsidRPr="00FE6E01" w:rsidRDefault="00FE6E01" w:rsidP="00A4540E">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lastRenderedPageBreak/>
              <w:t>Contents</w:t>
            </w:r>
          </w:p>
        </w:tc>
      </w:tr>
    </w:tbl>
    <w:p w14:paraId="3A68B01E" w14:textId="24B3716A" w:rsidR="00FE0950" w:rsidRPr="00024453" w:rsidRDefault="00FE0950" w:rsidP="00DA0438">
      <w:pPr>
        <w:snapToGrid w:val="0"/>
        <w:spacing w:after="200" w:line="276" w:lineRule="auto"/>
        <w:rPr>
          <w:rFonts w:ascii="Arial" w:hAnsi="Arial" w:cs="Arial"/>
          <w:b/>
          <w:color w:val="000000"/>
          <w:lang w:val="en-US" w:eastAsia="en-NZ"/>
        </w:rPr>
      </w:pPr>
    </w:p>
    <w:p w14:paraId="5D3948F6" w14:textId="45163A34" w:rsidR="00FE0950" w:rsidRPr="004724AB" w:rsidRDefault="00FE0950" w:rsidP="00DA0438">
      <w:pPr>
        <w:snapToGrid w:val="0"/>
        <w:spacing w:after="200" w:line="276" w:lineRule="auto"/>
        <w:ind w:left="2880" w:hanging="2880"/>
        <w:jc w:val="both"/>
        <w:rPr>
          <w:rFonts w:ascii="Arial" w:eastAsia="Cambria" w:hAnsi="Arial" w:cs="Arial"/>
          <w:sz w:val="22"/>
          <w:szCs w:val="22"/>
          <w:lang w:val="en-US"/>
        </w:rPr>
      </w:pPr>
      <w:r w:rsidRPr="004724AB">
        <w:rPr>
          <w:rFonts w:ascii="Arial" w:eastAsia="Cambria" w:hAnsi="Arial" w:cs="Arial"/>
          <w:sz w:val="22"/>
          <w:szCs w:val="22"/>
          <w:lang w:val="en-US"/>
        </w:rPr>
        <w:t xml:space="preserve">Recommendation </w:t>
      </w:r>
      <w:r w:rsidR="00F4180B" w:rsidRPr="004724AB">
        <w:rPr>
          <w:rFonts w:ascii="Arial" w:eastAsia="Cambria" w:hAnsi="Arial" w:cs="Arial"/>
          <w:sz w:val="22"/>
          <w:szCs w:val="22"/>
          <w:lang w:val="en-US"/>
        </w:rPr>
        <w:t>1</w:t>
      </w:r>
      <w:proofErr w:type="gramStart"/>
      <w:r w:rsidRPr="004724AB">
        <w:rPr>
          <w:rFonts w:ascii="Arial" w:eastAsia="Cambria" w:hAnsi="Arial" w:cs="Arial"/>
          <w:sz w:val="22"/>
          <w:szCs w:val="22"/>
          <w:lang w:val="en-US"/>
        </w:rPr>
        <w:t xml:space="preserve">: </w:t>
      </w:r>
      <w:r w:rsidRPr="004724AB">
        <w:rPr>
          <w:rFonts w:ascii="Arial" w:eastAsia="Cambria" w:hAnsi="Arial" w:cs="Arial"/>
          <w:sz w:val="22"/>
          <w:szCs w:val="22"/>
          <w:lang w:val="en-US"/>
        </w:rPr>
        <w:tab/>
      </w:r>
      <w:r w:rsidR="004724AB" w:rsidRPr="004724AB">
        <w:rPr>
          <w:rFonts w:ascii="Arial" w:hAnsi="Arial" w:cs="Arial"/>
          <w:sz w:val="22"/>
          <w:szCs w:val="22"/>
        </w:rPr>
        <w:t>BOS</w:t>
      </w:r>
      <w:proofErr w:type="gramEnd"/>
      <w:r w:rsidR="004724AB" w:rsidRPr="004724AB">
        <w:rPr>
          <w:rFonts w:ascii="Arial" w:hAnsi="Arial" w:cs="Arial"/>
          <w:sz w:val="22"/>
          <w:szCs w:val="22"/>
        </w:rPr>
        <w:t xml:space="preserve"> should amend its </w:t>
      </w:r>
      <w:r w:rsidR="004A5C3B">
        <w:rPr>
          <w:rFonts w:ascii="Arial" w:hAnsi="Arial" w:cs="Arial"/>
          <w:sz w:val="22"/>
          <w:szCs w:val="22"/>
        </w:rPr>
        <w:t>terms of reference</w:t>
      </w:r>
      <w:r w:rsidR="004724AB" w:rsidRPr="004724AB">
        <w:rPr>
          <w:rFonts w:ascii="Arial" w:hAnsi="Arial" w:cs="Arial"/>
          <w:sz w:val="22"/>
          <w:szCs w:val="22"/>
        </w:rPr>
        <w:t xml:space="preserve"> so it can deal with complaints against recipient banks, provided banks amend the Code of Banking Practice to institute rules relating to recipient banks, which BOS should encourage them to do.</w:t>
      </w:r>
    </w:p>
    <w:p w14:paraId="658DED89" w14:textId="5DFEA2B6" w:rsidR="004724AB" w:rsidRPr="004724AB" w:rsidRDefault="00FE0950" w:rsidP="00DA0438">
      <w:pPr>
        <w:snapToGrid w:val="0"/>
        <w:spacing w:after="200" w:line="276" w:lineRule="auto"/>
        <w:ind w:left="2880" w:hanging="2880"/>
        <w:jc w:val="both"/>
        <w:rPr>
          <w:rFonts w:ascii="Arial" w:hAnsi="Arial" w:cs="Arial"/>
          <w:sz w:val="22"/>
          <w:szCs w:val="22"/>
        </w:rPr>
      </w:pPr>
      <w:r w:rsidRPr="004724AB">
        <w:rPr>
          <w:rFonts w:ascii="Arial" w:eastAsia="Cambria" w:hAnsi="Arial" w:cs="Arial"/>
          <w:sz w:val="22"/>
          <w:szCs w:val="22"/>
          <w:lang w:val="en-US"/>
        </w:rPr>
        <w:t xml:space="preserve">Recommendation </w:t>
      </w:r>
      <w:r w:rsidR="00F4180B" w:rsidRPr="004724AB">
        <w:rPr>
          <w:rFonts w:ascii="Arial" w:eastAsia="Cambria" w:hAnsi="Arial" w:cs="Arial"/>
          <w:sz w:val="22"/>
          <w:szCs w:val="22"/>
          <w:lang w:val="en-US"/>
        </w:rPr>
        <w:t>4</w:t>
      </w:r>
      <w:proofErr w:type="gramStart"/>
      <w:r w:rsidRPr="004724AB">
        <w:rPr>
          <w:rFonts w:ascii="Arial" w:eastAsia="Cambria" w:hAnsi="Arial" w:cs="Arial"/>
          <w:sz w:val="22"/>
          <w:szCs w:val="22"/>
          <w:lang w:val="en-US"/>
        </w:rPr>
        <w:t xml:space="preserve">: </w:t>
      </w:r>
      <w:r w:rsidRPr="004724AB">
        <w:rPr>
          <w:rFonts w:ascii="Arial" w:eastAsia="Cambria" w:hAnsi="Arial" w:cs="Arial"/>
          <w:sz w:val="22"/>
          <w:szCs w:val="22"/>
          <w:lang w:val="en-US"/>
        </w:rPr>
        <w:tab/>
      </w:r>
      <w:r w:rsidR="004724AB" w:rsidRPr="004724AB">
        <w:rPr>
          <w:rFonts w:ascii="Arial" w:hAnsi="Arial" w:cs="Arial"/>
          <w:sz w:val="22"/>
          <w:szCs w:val="22"/>
        </w:rPr>
        <w:t>BOS</w:t>
      </w:r>
      <w:proofErr w:type="gramEnd"/>
      <w:r w:rsidR="004724AB" w:rsidRPr="004724AB">
        <w:rPr>
          <w:rFonts w:ascii="Arial" w:hAnsi="Arial" w:cs="Arial"/>
          <w:sz w:val="22"/>
          <w:szCs w:val="22"/>
        </w:rPr>
        <w:t xml:space="preserve"> should consider a rule change to enable claimants to waive the amount of their claims </w:t>
      </w:r>
      <w:proofErr w:type="gramStart"/>
      <w:r w:rsidR="004724AB" w:rsidRPr="004724AB">
        <w:rPr>
          <w:rFonts w:ascii="Arial" w:hAnsi="Arial" w:cs="Arial"/>
          <w:sz w:val="22"/>
          <w:szCs w:val="22"/>
        </w:rPr>
        <w:t>in excess of</w:t>
      </w:r>
      <w:proofErr w:type="gramEnd"/>
      <w:r w:rsidR="004724AB" w:rsidRPr="004724AB">
        <w:rPr>
          <w:rFonts w:ascii="Arial" w:hAnsi="Arial" w:cs="Arial"/>
          <w:sz w:val="22"/>
          <w:szCs w:val="22"/>
        </w:rPr>
        <w:t xml:space="preserve"> the jurisdictional limit</w:t>
      </w:r>
      <w:r w:rsidR="0066663E">
        <w:rPr>
          <w:rFonts w:ascii="Arial" w:hAnsi="Arial" w:cs="Arial"/>
          <w:sz w:val="22"/>
          <w:szCs w:val="22"/>
        </w:rPr>
        <w:t>.</w:t>
      </w:r>
    </w:p>
    <w:p w14:paraId="42CB3FE6" w14:textId="16D662AE" w:rsidR="00FE0950" w:rsidRPr="004724AB" w:rsidRDefault="00FE0950" w:rsidP="00DA0438">
      <w:pPr>
        <w:snapToGrid w:val="0"/>
        <w:spacing w:after="200" w:line="276" w:lineRule="auto"/>
        <w:ind w:left="2880" w:hanging="2880"/>
        <w:jc w:val="both"/>
        <w:rPr>
          <w:rFonts w:ascii="Arial" w:eastAsia="Cambria" w:hAnsi="Arial" w:cs="Arial"/>
          <w:sz w:val="22"/>
          <w:szCs w:val="22"/>
          <w:lang w:val="en-US"/>
        </w:rPr>
      </w:pPr>
      <w:r w:rsidRPr="004724AB">
        <w:rPr>
          <w:rFonts w:ascii="Arial" w:eastAsia="Cambria" w:hAnsi="Arial" w:cs="Arial"/>
          <w:sz w:val="22"/>
          <w:szCs w:val="22"/>
          <w:lang w:val="en-US"/>
        </w:rPr>
        <w:t xml:space="preserve">Recommendation </w:t>
      </w:r>
      <w:r w:rsidR="00F4180B" w:rsidRPr="004724AB">
        <w:rPr>
          <w:rFonts w:ascii="Arial" w:eastAsia="Cambria" w:hAnsi="Arial" w:cs="Arial"/>
          <w:sz w:val="22"/>
          <w:szCs w:val="22"/>
          <w:lang w:val="en-US"/>
        </w:rPr>
        <w:t>7</w:t>
      </w:r>
      <w:r w:rsidR="00DA0438" w:rsidRPr="004724AB">
        <w:rPr>
          <w:rFonts w:ascii="Arial" w:eastAsia="Cambria" w:hAnsi="Arial" w:cs="Arial"/>
          <w:sz w:val="22"/>
          <w:szCs w:val="22"/>
          <w:lang w:val="en-US"/>
        </w:rPr>
        <w:t>:</w:t>
      </w:r>
      <w:r w:rsidRPr="004724AB">
        <w:rPr>
          <w:rFonts w:ascii="Arial" w:eastAsia="Cambria" w:hAnsi="Arial" w:cs="Arial"/>
          <w:sz w:val="22"/>
          <w:szCs w:val="22"/>
          <w:lang w:val="en-US"/>
        </w:rPr>
        <w:tab/>
      </w:r>
      <w:r w:rsidR="004724AB" w:rsidRPr="004724AB">
        <w:rPr>
          <w:rFonts w:ascii="Arial" w:hAnsi="Arial" w:cs="Arial"/>
          <w:sz w:val="22"/>
          <w:szCs w:val="22"/>
        </w:rPr>
        <w:t xml:space="preserve">BOS should amend its rules and operational guidance </w:t>
      </w:r>
      <w:proofErr w:type="gramStart"/>
      <w:r w:rsidR="004724AB" w:rsidRPr="004724AB">
        <w:rPr>
          <w:rFonts w:ascii="Arial" w:hAnsi="Arial" w:cs="Arial"/>
          <w:sz w:val="22"/>
          <w:szCs w:val="22"/>
        </w:rPr>
        <w:t>to reflect that BOS may</w:t>
      </w:r>
      <w:proofErr w:type="gramEnd"/>
      <w:r w:rsidR="004724AB" w:rsidRPr="004724AB">
        <w:rPr>
          <w:rFonts w:ascii="Arial" w:hAnsi="Arial" w:cs="Arial"/>
          <w:sz w:val="22"/>
          <w:szCs w:val="22"/>
        </w:rPr>
        <w:t xml:space="preserve"> seek expert advice from a range of experts as it thinks fit.</w:t>
      </w:r>
    </w:p>
    <w:p w14:paraId="70ED0CFD" w14:textId="2E0D347D" w:rsidR="00FE0950" w:rsidRPr="00D26BA5" w:rsidRDefault="00FE0950" w:rsidP="004724AB">
      <w:pPr>
        <w:snapToGrid w:val="0"/>
        <w:spacing w:after="200" w:line="276" w:lineRule="auto"/>
        <w:ind w:left="2880" w:hanging="2880"/>
        <w:jc w:val="both"/>
        <w:rPr>
          <w:rFonts w:ascii="Arial" w:hAnsi="Arial" w:cs="Arial"/>
          <w:b/>
          <w:color w:val="000000"/>
          <w:sz w:val="28"/>
          <w:szCs w:val="28"/>
          <w:lang w:val="en-US" w:eastAsia="en-NZ"/>
        </w:rPr>
      </w:pPr>
      <w:r w:rsidRPr="004724AB">
        <w:rPr>
          <w:rFonts w:ascii="Arial" w:eastAsia="Cambria" w:hAnsi="Arial" w:cs="Arial"/>
          <w:sz w:val="22"/>
          <w:szCs w:val="22"/>
          <w:lang w:val="en-US"/>
        </w:rPr>
        <w:t xml:space="preserve">Recommendation </w:t>
      </w:r>
      <w:r w:rsidR="00F4180B" w:rsidRPr="004724AB">
        <w:rPr>
          <w:rFonts w:ascii="Arial" w:eastAsia="Cambria" w:hAnsi="Arial" w:cs="Arial"/>
          <w:sz w:val="22"/>
          <w:szCs w:val="22"/>
          <w:lang w:val="en-US"/>
        </w:rPr>
        <w:t>8</w:t>
      </w:r>
      <w:r w:rsidRPr="004724AB">
        <w:rPr>
          <w:rFonts w:ascii="Arial" w:eastAsia="Cambria" w:hAnsi="Arial" w:cs="Arial"/>
          <w:sz w:val="22"/>
          <w:szCs w:val="22"/>
          <w:lang w:val="en-US"/>
        </w:rPr>
        <w:t>:</w:t>
      </w:r>
      <w:r w:rsidRPr="004724AB">
        <w:rPr>
          <w:rFonts w:ascii="Arial" w:eastAsia="Cambria" w:hAnsi="Arial" w:cs="Arial"/>
          <w:sz w:val="22"/>
          <w:szCs w:val="22"/>
          <w:lang w:val="en-US"/>
        </w:rPr>
        <w:tab/>
      </w:r>
      <w:r w:rsidR="004724AB" w:rsidRPr="004724AB">
        <w:rPr>
          <w:rFonts w:ascii="Arial" w:hAnsi="Arial" w:cs="Arial"/>
          <w:sz w:val="22"/>
          <w:szCs w:val="22"/>
        </w:rPr>
        <w:t>BOS should amend its rules to change “principles of good banking practice” to “principles of good industry practice”.</w:t>
      </w:r>
      <w:r w:rsidRPr="00D26BA5">
        <w:rPr>
          <w:rFonts w:ascii="Arial" w:hAnsi="Arial" w:cs="Arial"/>
          <w:b/>
          <w:color w:val="000000"/>
          <w:sz w:val="28"/>
          <w:szCs w:val="28"/>
          <w:lang w:val="en-US" w:eastAsia="en-NZ"/>
        </w:rPr>
        <w:br w:type="page"/>
      </w:r>
    </w:p>
    <w:tbl>
      <w:tblPr>
        <w:tblStyle w:val="TableGrid"/>
        <w:tblW w:w="0" w:type="auto"/>
        <w:tblLook w:val="04A0" w:firstRow="1" w:lastRow="0" w:firstColumn="1" w:lastColumn="0" w:noHBand="0" w:noVBand="1"/>
      </w:tblPr>
      <w:tblGrid>
        <w:gridCol w:w="9016"/>
      </w:tblGrid>
      <w:tr w:rsidR="00FE6E01" w:rsidRPr="00FE6E01" w14:paraId="271A1B33" w14:textId="77777777" w:rsidTr="009204E7">
        <w:trPr>
          <w:trHeight w:val="759"/>
        </w:trPr>
        <w:tc>
          <w:tcPr>
            <w:tcW w:w="9016" w:type="dxa"/>
            <w:tcBorders>
              <w:top w:val="nil"/>
              <w:left w:val="nil"/>
              <w:bottom w:val="nil"/>
              <w:right w:val="nil"/>
            </w:tcBorders>
            <w:shd w:val="clear" w:color="auto" w:fill="00ACC9"/>
            <w:vAlign w:val="bottom"/>
          </w:tcPr>
          <w:p w14:paraId="57D525DB" w14:textId="6B3E2290" w:rsidR="00FE6E01" w:rsidRPr="00FE6E01" w:rsidRDefault="00FE6E01" w:rsidP="00A4540E">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lastRenderedPageBreak/>
              <w:t>Allow the scheme to deal with complaints against recipient banks</w:t>
            </w:r>
          </w:p>
        </w:tc>
      </w:tr>
    </w:tbl>
    <w:p w14:paraId="65613948" w14:textId="77777777" w:rsidR="00FE6E01" w:rsidRPr="0009087C" w:rsidRDefault="00FE6E01" w:rsidP="00DA0438">
      <w:pPr>
        <w:snapToGrid w:val="0"/>
        <w:spacing w:after="200" w:line="276" w:lineRule="auto"/>
        <w:jc w:val="both"/>
        <w:rPr>
          <w:rFonts w:ascii="Arial" w:eastAsia="Cambria" w:hAnsi="Arial" w:cs="Arial"/>
          <w:b/>
          <w:bCs/>
          <w:color w:val="00B050"/>
          <w:sz w:val="22"/>
          <w:szCs w:val="22"/>
          <w:lang w:val="en-US"/>
        </w:rPr>
      </w:pPr>
    </w:p>
    <w:p w14:paraId="4A1B18CD" w14:textId="65676265" w:rsidR="00827A5A" w:rsidRDefault="00EE44CE" w:rsidP="00DA0438">
      <w:pPr>
        <w:snapToGrid w:val="0"/>
        <w:spacing w:after="200" w:line="276" w:lineRule="auto"/>
        <w:jc w:val="both"/>
        <w:rPr>
          <w:rFonts w:ascii="Arial" w:eastAsia="Cambria" w:hAnsi="Arial" w:cs="Arial"/>
          <w:sz w:val="22"/>
          <w:szCs w:val="22"/>
          <w:lang w:val="en-US"/>
        </w:rPr>
      </w:pPr>
      <w:r w:rsidRPr="00EE44CE">
        <w:rPr>
          <w:rFonts w:ascii="Arial" w:eastAsia="Cambria" w:hAnsi="Arial" w:cs="Arial"/>
          <w:sz w:val="22"/>
          <w:szCs w:val="22"/>
          <w:lang w:val="en-US"/>
        </w:rPr>
        <w:t>Recommendation 1</w:t>
      </w:r>
      <w:r>
        <w:rPr>
          <w:rFonts w:ascii="Arial" w:eastAsia="Cambria" w:hAnsi="Arial" w:cs="Arial"/>
          <w:sz w:val="22"/>
          <w:szCs w:val="22"/>
          <w:lang w:val="en-US"/>
        </w:rPr>
        <w:t xml:space="preserve"> proposes that the scheme amends its rules so it can deal with complaints about recipient banks, provided banks amend the Code of Banking Practice to institute rules relating to recipient banks, which the scheme should encourage them to do.</w:t>
      </w:r>
    </w:p>
    <w:p w14:paraId="7990A7A5" w14:textId="4BCD6D51" w:rsidR="00CD366C" w:rsidRDefault="00CD366C" w:rsidP="00DA0438">
      <w:pPr>
        <w:snapToGrid w:val="0"/>
        <w:spacing w:after="200" w:line="276" w:lineRule="auto"/>
        <w:jc w:val="both"/>
        <w:rPr>
          <w:rFonts w:ascii="Arial" w:eastAsia="Cambria" w:hAnsi="Arial" w:cs="Arial"/>
          <w:sz w:val="22"/>
          <w:szCs w:val="22"/>
          <w:lang w:val="en-US"/>
        </w:rPr>
      </w:pPr>
      <w:r>
        <w:rPr>
          <w:rFonts w:ascii="Arial" w:eastAsia="Cambria" w:hAnsi="Arial" w:cs="Arial"/>
          <w:sz w:val="22"/>
          <w:szCs w:val="22"/>
          <w:lang w:val="en-US"/>
        </w:rPr>
        <w:t xml:space="preserve">This recommendation was made in response to </w:t>
      </w:r>
      <w:r w:rsidR="00D260BA">
        <w:rPr>
          <w:rFonts w:ascii="Arial" w:eastAsia="Cambria" w:hAnsi="Arial" w:cs="Arial"/>
          <w:sz w:val="22"/>
          <w:szCs w:val="22"/>
          <w:lang w:val="en-US"/>
        </w:rPr>
        <w:t>a submission from a</w:t>
      </w:r>
      <w:r>
        <w:rPr>
          <w:rFonts w:ascii="Arial" w:eastAsia="Cambria" w:hAnsi="Arial" w:cs="Arial"/>
          <w:sz w:val="22"/>
          <w:szCs w:val="22"/>
          <w:lang w:val="en-US"/>
        </w:rPr>
        <w:t xml:space="preserve"> complainant </w:t>
      </w:r>
      <w:r w:rsidR="00D80D0A">
        <w:rPr>
          <w:rFonts w:ascii="Arial" w:eastAsia="Cambria" w:hAnsi="Arial" w:cs="Arial"/>
          <w:sz w:val="22"/>
          <w:szCs w:val="22"/>
          <w:lang w:val="en-US"/>
        </w:rPr>
        <w:t xml:space="preserve">to the </w:t>
      </w:r>
      <w:proofErr w:type="gramStart"/>
      <w:r w:rsidR="00D80D0A">
        <w:rPr>
          <w:rFonts w:ascii="Arial" w:eastAsia="Cambria" w:hAnsi="Arial" w:cs="Arial"/>
          <w:sz w:val="22"/>
          <w:szCs w:val="22"/>
          <w:lang w:val="en-US"/>
        </w:rPr>
        <w:t>review</w:t>
      </w:r>
      <w:proofErr w:type="gramEnd"/>
      <w:r w:rsidR="00D80D0A">
        <w:rPr>
          <w:rFonts w:ascii="Arial" w:eastAsia="Cambria" w:hAnsi="Arial" w:cs="Arial"/>
          <w:sz w:val="22"/>
          <w:szCs w:val="22"/>
          <w:lang w:val="en-US"/>
        </w:rPr>
        <w:t xml:space="preserve"> </w:t>
      </w:r>
      <w:r>
        <w:rPr>
          <w:rFonts w:ascii="Arial" w:eastAsia="Cambria" w:hAnsi="Arial" w:cs="Arial"/>
          <w:sz w:val="22"/>
          <w:szCs w:val="22"/>
          <w:lang w:val="en-US"/>
        </w:rPr>
        <w:t xml:space="preserve">who </w:t>
      </w:r>
      <w:r w:rsidR="00D260BA">
        <w:rPr>
          <w:rFonts w:ascii="Arial" w:eastAsia="Cambria" w:hAnsi="Arial" w:cs="Arial"/>
          <w:sz w:val="22"/>
          <w:szCs w:val="22"/>
          <w:lang w:val="en-US"/>
        </w:rPr>
        <w:t>was the victim of a scam, and</w:t>
      </w:r>
      <w:r>
        <w:rPr>
          <w:rFonts w:ascii="Arial" w:eastAsia="Cambria" w:hAnsi="Arial" w:cs="Arial"/>
          <w:sz w:val="22"/>
          <w:szCs w:val="22"/>
          <w:lang w:val="en-US"/>
        </w:rPr>
        <w:t xml:space="preserve"> believed his case involved red flags for both the sending and receiving bank</w:t>
      </w:r>
      <w:r w:rsidR="00D260BA">
        <w:rPr>
          <w:rFonts w:ascii="Arial" w:eastAsia="Cambria" w:hAnsi="Arial" w:cs="Arial"/>
          <w:sz w:val="22"/>
          <w:szCs w:val="22"/>
          <w:lang w:val="en-US"/>
        </w:rPr>
        <w:t>. B</w:t>
      </w:r>
      <w:r>
        <w:rPr>
          <w:rFonts w:ascii="Arial" w:eastAsia="Cambria" w:hAnsi="Arial" w:cs="Arial"/>
          <w:sz w:val="22"/>
          <w:szCs w:val="22"/>
          <w:lang w:val="en-US"/>
        </w:rPr>
        <w:t>ut the scheme could only investigate the actions of the sending bank.</w:t>
      </w:r>
      <w:r w:rsidR="005B513D">
        <w:rPr>
          <w:rFonts w:ascii="Arial" w:eastAsia="Cambria" w:hAnsi="Arial" w:cs="Arial"/>
          <w:sz w:val="22"/>
          <w:szCs w:val="22"/>
          <w:lang w:val="en-US"/>
        </w:rPr>
        <w:t xml:space="preserve"> Other consumers and media commentators</w:t>
      </w:r>
      <w:r w:rsidR="00D80D0A">
        <w:rPr>
          <w:rFonts w:ascii="Arial" w:eastAsia="Cambria" w:hAnsi="Arial" w:cs="Arial"/>
          <w:sz w:val="22"/>
          <w:szCs w:val="22"/>
          <w:lang w:val="en-US"/>
        </w:rPr>
        <w:t xml:space="preserve">, however, have long called for and support this proposed change. </w:t>
      </w:r>
      <w:r w:rsidR="005B513D">
        <w:rPr>
          <w:rFonts w:ascii="Arial" w:eastAsia="Cambria" w:hAnsi="Arial" w:cs="Arial"/>
          <w:sz w:val="22"/>
          <w:szCs w:val="22"/>
          <w:lang w:val="en-US"/>
        </w:rPr>
        <w:t xml:space="preserve">  </w:t>
      </w:r>
    </w:p>
    <w:p w14:paraId="0074D6B4" w14:textId="67C13FFC" w:rsidR="00782749" w:rsidRDefault="00EE44CE" w:rsidP="00DA0438">
      <w:pPr>
        <w:snapToGrid w:val="0"/>
        <w:spacing w:after="200" w:line="276" w:lineRule="auto"/>
        <w:jc w:val="both"/>
        <w:rPr>
          <w:rFonts w:ascii="Arial" w:eastAsia="Cambria" w:hAnsi="Arial" w:cs="Arial"/>
          <w:sz w:val="22"/>
          <w:szCs w:val="22"/>
          <w:lang w:val="en-US"/>
        </w:rPr>
      </w:pPr>
      <w:r>
        <w:rPr>
          <w:rFonts w:ascii="Arial" w:eastAsia="Cambria" w:hAnsi="Arial" w:cs="Arial"/>
          <w:sz w:val="22"/>
          <w:szCs w:val="22"/>
          <w:lang w:val="en-US"/>
        </w:rPr>
        <w:t xml:space="preserve">The scheme’s current rules require the complainant to have received a banking service from the bank they have complained </w:t>
      </w:r>
      <w:r w:rsidR="00AB09B2">
        <w:rPr>
          <w:rFonts w:ascii="Arial" w:eastAsia="Cambria" w:hAnsi="Arial" w:cs="Arial"/>
          <w:sz w:val="22"/>
          <w:szCs w:val="22"/>
          <w:lang w:val="en-US"/>
        </w:rPr>
        <w:t>about</w:t>
      </w:r>
      <w:r>
        <w:rPr>
          <w:rFonts w:ascii="Arial" w:eastAsia="Cambria" w:hAnsi="Arial" w:cs="Arial"/>
          <w:sz w:val="22"/>
          <w:szCs w:val="22"/>
          <w:lang w:val="en-US"/>
        </w:rPr>
        <w:t>. Recipient banks do not provide a direct service to customers who have sent funds, and thus complaints about a recipient bank’s actions fall outside the scheme’</w:t>
      </w:r>
      <w:r w:rsidR="00780DF9">
        <w:rPr>
          <w:rFonts w:ascii="Arial" w:eastAsia="Cambria" w:hAnsi="Arial" w:cs="Arial"/>
          <w:sz w:val="22"/>
          <w:szCs w:val="22"/>
          <w:lang w:val="en-US"/>
        </w:rPr>
        <w:t>s</w:t>
      </w:r>
      <w:r>
        <w:rPr>
          <w:rFonts w:ascii="Arial" w:eastAsia="Cambria" w:hAnsi="Arial" w:cs="Arial"/>
          <w:sz w:val="22"/>
          <w:szCs w:val="22"/>
          <w:lang w:val="en-US"/>
        </w:rPr>
        <w:t xml:space="preserve"> scope.</w:t>
      </w:r>
      <w:r w:rsidR="00782749">
        <w:rPr>
          <w:rFonts w:ascii="Arial" w:eastAsia="Cambria" w:hAnsi="Arial" w:cs="Arial"/>
          <w:sz w:val="22"/>
          <w:szCs w:val="22"/>
          <w:lang w:val="en-US"/>
        </w:rPr>
        <w:t xml:space="preserve"> </w:t>
      </w:r>
    </w:p>
    <w:p w14:paraId="33F15F20" w14:textId="7B541324" w:rsidR="006A0065" w:rsidRDefault="00D260BA" w:rsidP="00DA0438">
      <w:pPr>
        <w:snapToGrid w:val="0"/>
        <w:spacing w:after="200" w:line="276" w:lineRule="auto"/>
        <w:jc w:val="both"/>
        <w:rPr>
          <w:rFonts w:ascii="Arial" w:eastAsia="Cambria" w:hAnsi="Arial" w:cs="Arial"/>
          <w:sz w:val="22"/>
          <w:szCs w:val="22"/>
          <w:lang w:val="en-US"/>
        </w:rPr>
      </w:pPr>
      <w:r>
        <w:rPr>
          <w:rFonts w:ascii="Arial" w:eastAsia="Cambria" w:hAnsi="Arial" w:cs="Arial"/>
          <w:sz w:val="22"/>
          <w:szCs w:val="22"/>
          <w:lang w:val="en-US"/>
        </w:rPr>
        <w:t>The review noted that</w:t>
      </w:r>
      <w:r w:rsidR="00CD366C">
        <w:rPr>
          <w:rFonts w:ascii="Arial" w:eastAsia="Cambria" w:hAnsi="Arial" w:cs="Arial"/>
          <w:sz w:val="22"/>
          <w:szCs w:val="22"/>
          <w:lang w:val="en-US"/>
        </w:rPr>
        <w:t xml:space="preserve"> customers rely upon banks, both their own and recipient banks, to act appropriately and it seemed </w:t>
      </w:r>
      <w:r w:rsidR="00D80D0A">
        <w:rPr>
          <w:rFonts w:ascii="Arial" w:eastAsia="Cambria" w:hAnsi="Arial" w:cs="Arial"/>
          <w:sz w:val="22"/>
          <w:szCs w:val="22"/>
          <w:lang w:val="en-US"/>
        </w:rPr>
        <w:t>“</w:t>
      </w:r>
      <w:r w:rsidR="00CD366C">
        <w:rPr>
          <w:rFonts w:ascii="Arial" w:eastAsia="Cambria" w:hAnsi="Arial" w:cs="Arial"/>
          <w:sz w:val="22"/>
          <w:szCs w:val="22"/>
          <w:lang w:val="en-US"/>
        </w:rPr>
        <w:t>incongruous</w:t>
      </w:r>
      <w:r w:rsidR="00D80D0A">
        <w:rPr>
          <w:rFonts w:ascii="Arial" w:eastAsia="Cambria" w:hAnsi="Arial" w:cs="Arial"/>
          <w:sz w:val="22"/>
          <w:szCs w:val="22"/>
          <w:lang w:val="en-US"/>
        </w:rPr>
        <w:t>”</w:t>
      </w:r>
      <w:r w:rsidR="00CD366C">
        <w:rPr>
          <w:rFonts w:ascii="Arial" w:eastAsia="Cambria" w:hAnsi="Arial" w:cs="Arial"/>
          <w:sz w:val="22"/>
          <w:szCs w:val="22"/>
          <w:lang w:val="en-US"/>
        </w:rPr>
        <w:t xml:space="preserve"> that the scheme was </w:t>
      </w:r>
      <w:r w:rsidR="00AB09B2">
        <w:rPr>
          <w:rFonts w:ascii="Arial" w:eastAsia="Cambria" w:hAnsi="Arial" w:cs="Arial"/>
          <w:sz w:val="22"/>
          <w:szCs w:val="22"/>
          <w:lang w:val="en-US"/>
        </w:rPr>
        <w:t>unable to</w:t>
      </w:r>
      <w:r w:rsidR="00CD366C">
        <w:rPr>
          <w:rFonts w:ascii="Arial" w:eastAsia="Cambria" w:hAnsi="Arial" w:cs="Arial"/>
          <w:sz w:val="22"/>
          <w:szCs w:val="22"/>
          <w:lang w:val="en-US"/>
        </w:rPr>
        <w:t xml:space="preserve"> consider</w:t>
      </w:r>
      <w:r w:rsidR="00AB09B2">
        <w:rPr>
          <w:rFonts w:ascii="Arial" w:eastAsia="Cambria" w:hAnsi="Arial" w:cs="Arial"/>
          <w:sz w:val="22"/>
          <w:szCs w:val="22"/>
          <w:lang w:val="en-US"/>
        </w:rPr>
        <w:t xml:space="preserve"> </w:t>
      </w:r>
      <w:r w:rsidR="00CD366C">
        <w:rPr>
          <w:rFonts w:ascii="Arial" w:eastAsia="Cambria" w:hAnsi="Arial" w:cs="Arial"/>
          <w:sz w:val="22"/>
          <w:szCs w:val="22"/>
          <w:lang w:val="en-US"/>
        </w:rPr>
        <w:t>complaints about recipient banks, when recipient banks are members of the scheme.</w:t>
      </w:r>
      <w:r w:rsidR="00DA0438">
        <w:rPr>
          <w:rFonts w:ascii="Arial" w:eastAsia="Cambria" w:hAnsi="Arial" w:cs="Arial"/>
          <w:sz w:val="22"/>
          <w:szCs w:val="22"/>
          <w:lang w:val="en-US"/>
        </w:rPr>
        <w:t xml:space="preserve"> </w:t>
      </w:r>
    </w:p>
    <w:p w14:paraId="41886C4C" w14:textId="3063F67C" w:rsidR="00CD366C" w:rsidRPr="00EE44CE" w:rsidRDefault="00CD366C" w:rsidP="00DA0438">
      <w:pPr>
        <w:snapToGrid w:val="0"/>
        <w:spacing w:after="200" w:line="276" w:lineRule="auto"/>
        <w:jc w:val="both"/>
        <w:rPr>
          <w:rFonts w:ascii="Arial" w:eastAsia="Cambria" w:hAnsi="Arial" w:cs="Arial"/>
          <w:sz w:val="22"/>
          <w:szCs w:val="22"/>
          <w:lang w:val="en-US"/>
        </w:rPr>
      </w:pPr>
      <w:r>
        <w:rPr>
          <w:rFonts w:ascii="Arial" w:eastAsia="Cambria" w:hAnsi="Arial" w:cs="Arial"/>
          <w:sz w:val="22"/>
          <w:szCs w:val="22"/>
          <w:lang w:val="en-US"/>
        </w:rPr>
        <w:t>The review also acknowledged that a necessary pre-requisite to empowering the scheme to consider complaints about recipient banks was</w:t>
      </w:r>
      <w:r w:rsidR="00E062FC">
        <w:rPr>
          <w:rFonts w:ascii="Arial" w:eastAsia="Cambria" w:hAnsi="Arial" w:cs="Arial"/>
          <w:sz w:val="22"/>
          <w:szCs w:val="22"/>
          <w:lang w:val="en-US"/>
        </w:rPr>
        <w:t xml:space="preserve"> the</w:t>
      </w:r>
      <w:r>
        <w:rPr>
          <w:rFonts w:ascii="Arial" w:eastAsia="Cambria" w:hAnsi="Arial" w:cs="Arial"/>
          <w:sz w:val="22"/>
          <w:szCs w:val="22"/>
          <w:lang w:val="en-US"/>
        </w:rPr>
        <w:t xml:space="preserve"> </w:t>
      </w:r>
      <w:r w:rsidR="00AB09B2">
        <w:rPr>
          <w:rFonts w:ascii="Arial" w:eastAsia="Cambria" w:hAnsi="Arial" w:cs="Arial"/>
          <w:sz w:val="22"/>
          <w:szCs w:val="22"/>
          <w:lang w:val="en-US"/>
        </w:rPr>
        <w:t>adoption</w:t>
      </w:r>
      <w:r w:rsidR="0009087C">
        <w:rPr>
          <w:rFonts w:ascii="Arial" w:eastAsia="Cambria" w:hAnsi="Arial" w:cs="Arial"/>
          <w:sz w:val="22"/>
          <w:szCs w:val="22"/>
          <w:lang w:val="en-US"/>
        </w:rPr>
        <w:t xml:space="preserve"> of</w:t>
      </w:r>
      <w:r>
        <w:rPr>
          <w:rFonts w:ascii="Arial" w:eastAsia="Cambria" w:hAnsi="Arial" w:cs="Arial"/>
          <w:sz w:val="22"/>
          <w:szCs w:val="22"/>
          <w:lang w:val="en-US"/>
        </w:rPr>
        <w:t xml:space="preserve"> obligations owed by recipient banks to non-customers</w:t>
      </w:r>
      <w:r w:rsidR="00E062FC">
        <w:rPr>
          <w:rFonts w:ascii="Arial" w:eastAsia="Cambria" w:hAnsi="Arial" w:cs="Arial"/>
          <w:sz w:val="22"/>
          <w:szCs w:val="22"/>
          <w:lang w:val="en-US"/>
        </w:rPr>
        <w:t xml:space="preserve"> and </w:t>
      </w:r>
      <w:r>
        <w:rPr>
          <w:rFonts w:ascii="Arial" w:eastAsia="Cambria" w:hAnsi="Arial" w:cs="Arial"/>
          <w:sz w:val="22"/>
          <w:szCs w:val="22"/>
          <w:lang w:val="en-US"/>
        </w:rPr>
        <w:t xml:space="preserve">suggested the development of a code </w:t>
      </w:r>
      <w:proofErr w:type="gramStart"/>
      <w:r>
        <w:rPr>
          <w:rFonts w:ascii="Arial" w:eastAsia="Cambria" w:hAnsi="Arial" w:cs="Arial"/>
          <w:sz w:val="22"/>
          <w:szCs w:val="22"/>
          <w:lang w:val="en-US"/>
        </w:rPr>
        <w:t>similar to</w:t>
      </w:r>
      <w:proofErr w:type="gramEnd"/>
      <w:r>
        <w:rPr>
          <w:rFonts w:ascii="Arial" w:eastAsia="Cambria" w:hAnsi="Arial" w:cs="Arial"/>
          <w:sz w:val="22"/>
          <w:szCs w:val="22"/>
          <w:lang w:val="en-US"/>
        </w:rPr>
        <w:t xml:space="preserve"> that in the United Kingdom.</w:t>
      </w:r>
    </w:p>
    <w:p w14:paraId="28502DF1" w14:textId="77777777" w:rsidR="00AB09B2" w:rsidRPr="00D26BA5" w:rsidRDefault="00AB09B2" w:rsidP="00AB09B2">
      <w:pPr>
        <w:snapToGrid w:val="0"/>
        <w:spacing w:after="200" w:line="276" w:lineRule="auto"/>
        <w:rPr>
          <w:rFonts w:ascii="Arial" w:eastAsia="Cambria" w:hAnsi="Arial" w:cs="Arial"/>
          <w:b/>
          <w:sz w:val="22"/>
          <w:szCs w:val="22"/>
          <w:lang w:val="en-US"/>
        </w:rPr>
      </w:pPr>
      <w:r>
        <w:rPr>
          <w:rFonts w:ascii="Arial" w:eastAsia="Cambria" w:hAnsi="Arial" w:cs="Arial"/>
          <w:b/>
          <w:sz w:val="22"/>
          <w:szCs w:val="22"/>
          <w:lang w:val="en-US"/>
        </w:rPr>
        <w:t xml:space="preserve">Background </w:t>
      </w:r>
    </w:p>
    <w:p w14:paraId="26FF31AC" w14:textId="0F8D2B01" w:rsidR="00AB09B2" w:rsidRDefault="00AB09B2" w:rsidP="00AB09B2">
      <w:pPr>
        <w:snapToGrid w:val="0"/>
        <w:spacing w:after="200" w:line="276" w:lineRule="auto"/>
        <w:rPr>
          <w:rFonts w:ascii="Arial" w:eastAsia="Cambria" w:hAnsi="Arial" w:cs="Arial"/>
          <w:sz w:val="22"/>
          <w:szCs w:val="22"/>
          <w:lang w:val="en-US"/>
        </w:rPr>
      </w:pPr>
      <w:r>
        <w:rPr>
          <w:rFonts w:ascii="Arial" w:eastAsia="Cambria" w:hAnsi="Arial" w:cs="Arial"/>
          <w:sz w:val="22"/>
          <w:szCs w:val="22"/>
          <w:lang w:val="en-US"/>
        </w:rPr>
        <w:t>The New Zealand Banking Association is currently reviewing the Code of Banking Practice to clarify bank commitments to protect consumers from scams. We recommend the revised Code includes commitments to:</w:t>
      </w:r>
    </w:p>
    <w:p w14:paraId="27215307" w14:textId="77777777" w:rsidR="00AB09B2" w:rsidRPr="005B513D" w:rsidRDefault="00AB09B2" w:rsidP="00AB09B2">
      <w:pPr>
        <w:pStyle w:val="ListParagraph"/>
        <w:numPr>
          <w:ilvl w:val="0"/>
          <w:numId w:val="19"/>
        </w:numPr>
        <w:snapToGrid w:val="0"/>
        <w:rPr>
          <w:rFonts w:ascii="Arial" w:eastAsia="Cambria" w:hAnsi="Arial" w:cs="Arial"/>
          <w:lang w:val="en-US"/>
        </w:rPr>
      </w:pPr>
      <w:r>
        <w:rPr>
          <w:rFonts w:ascii="Arial" w:eastAsia="Cambria" w:hAnsi="Arial" w:cs="Arial"/>
          <w:lang w:val="en-US"/>
        </w:rPr>
        <w:t xml:space="preserve">Take reasonable steps to detect accounts which may be, or are being, used to receive </w:t>
      </w:r>
      <w:r w:rsidRPr="005B513D">
        <w:rPr>
          <w:rFonts w:ascii="Arial" w:eastAsia="Cambria" w:hAnsi="Arial" w:cs="Arial"/>
          <w:lang w:val="en-US"/>
        </w:rPr>
        <w:t>scam funds</w:t>
      </w:r>
    </w:p>
    <w:p w14:paraId="447AE838" w14:textId="4A63C0F1" w:rsidR="00AB09B2" w:rsidRPr="005B513D" w:rsidRDefault="00AB09B2" w:rsidP="00AB09B2">
      <w:pPr>
        <w:pStyle w:val="ListParagraph"/>
        <w:numPr>
          <w:ilvl w:val="0"/>
          <w:numId w:val="19"/>
        </w:numPr>
        <w:snapToGrid w:val="0"/>
        <w:rPr>
          <w:rFonts w:ascii="Arial" w:eastAsia="Cambria" w:hAnsi="Arial" w:cs="Arial"/>
          <w:lang w:val="en-US"/>
        </w:rPr>
      </w:pPr>
      <w:r w:rsidRPr="005B513D">
        <w:rPr>
          <w:rFonts w:ascii="Arial" w:eastAsia="Cambria" w:hAnsi="Arial" w:cs="Arial"/>
          <w:lang w:val="en-US"/>
        </w:rPr>
        <w:t xml:space="preserve">Respond reasonably following notice of concerns about an account or funds at a recipient bank.  </w:t>
      </w:r>
    </w:p>
    <w:p w14:paraId="3A2B7A6B" w14:textId="3B1AC111" w:rsidR="00AB09B2" w:rsidRDefault="00AB09B2" w:rsidP="00AB09B2">
      <w:pPr>
        <w:snapToGrid w:val="0"/>
        <w:spacing w:after="200" w:line="276" w:lineRule="auto"/>
        <w:rPr>
          <w:rFonts w:ascii="Arial" w:eastAsia="Cambria" w:hAnsi="Arial" w:cs="Arial"/>
          <w:sz w:val="22"/>
          <w:szCs w:val="22"/>
          <w:lang w:val="en-US"/>
        </w:rPr>
      </w:pPr>
      <w:r>
        <w:rPr>
          <w:rFonts w:ascii="Arial" w:eastAsia="Cambria" w:hAnsi="Arial" w:cs="Arial"/>
          <w:sz w:val="22"/>
          <w:szCs w:val="22"/>
          <w:lang w:val="en-US"/>
        </w:rPr>
        <w:t>If a recipient bank fails to meet these commitments, and a payer suffers harm as a result, the</w:t>
      </w:r>
      <w:r w:rsidR="00295CDD">
        <w:rPr>
          <w:rFonts w:ascii="Arial" w:eastAsia="Cambria" w:hAnsi="Arial" w:cs="Arial"/>
          <w:sz w:val="22"/>
          <w:szCs w:val="22"/>
          <w:lang w:val="en-US"/>
        </w:rPr>
        <w:t xml:space="preserve"> bank would </w:t>
      </w:r>
      <w:r>
        <w:rPr>
          <w:rFonts w:ascii="Arial" w:eastAsia="Cambria" w:hAnsi="Arial" w:cs="Arial"/>
          <w:sz w:val="22"/>
          <w:szCs w:val="22"/>
          <w:lang w:val="en-US"/>
        </w:rPr>
        <w:t xml:space="preserve">compensate the payer fully, or partially (depending on the circumstances).  </w:t>
      </w:r>
    </w:p>
    <w:p w14:paraId="31043F0D" w14:textId="53B15B45" w:rsidR="00AB09B2" w:rsidRDefault="00AB09B2" w:rsidP="00AB09B2">
      <w:pPr>
        <w:snapToGrid w:val="0"/>
        <w:spacing w:after="200" w:line="276" w:lineRule="auto"/>
        <w:rPr>
          <w:rFonts w:ascii="Arial" w:eastAsia="Cambria" w:hAnsi="Arial" w:cs="Arial"/>
          <w:sz w:val="22"/>
          <w:szCs w:val="22"/>
          <w:lang w:val="en-US"/>
        </w:rPr>
      </w:pPr>
      <w:r>
        <w:rPr>
          <w:rFonts w:ascii="Arial" w:eastAsia="Cambria" w:hAnsi="Arial" w:cs="Arial"/>
          <w:sz w:val="22"/>
          <w:szCs w:val="22"/>
          <w:lang w:val="en-US"/>
        </w:rPr>
        <w:t xml:space="preserve">The scheme supports the development of this </w:t>
      </w:r>
      <w:r w:rsidR="00295CDD">
        <w:rPr>
          <w:rFonts w:ascii="Arial" w:eastAsia="Cambria" w:hAnsi="Arial" w:cs="Arial"/>
          <w:sz w:val="22"/>
          <w:szCs w:val="22"/>
          <w:lang w:val="en-US"/>
        </w:rPr>
        <w:t xml:space="preserve">scam compensation </w:t>
      </w:r>
      <w:r>
        <w:rPr>
          <w:rFonts w:ascii="Arial" w:eastAsia="Cambria" w:hAnsi="Arial" w:cs="Arial"/>
          <w:sz w:val="22"/>
          <w:szCs w:val="22"/>
          <w:lang w:val="en-US"/>
        </w:rPr>
        <w:t xml:space="preserve">framework and is being consulted as a key stakeholder. However, the scheme itself does not make industry codes or regulations. </w:t>
      </w:r>
    </w:p>
    <w:p w14:paraId="511139C5" w14:textId="51A88C4F" w:rsidR="002C14A7" w:rsidRDefault="00AB09B2" w:rsidP="00AB09B2">
      <w:pPr>
        <w:snapToGrid w:val="0"/>
        <w:spacing w:after="200" w:line="276" w:lineRule="auto"/>
        <w:rPr>
          <w:rFonts w:ascii="Arial" w:eastAsia="Cambria" w:hAnsi="Arial" w:cs="Arial"/>
          <w:sz w:val="22"/>
          <w:szCs w:val="22"/>
          <w:lang w:val="en-US"/>
        </w:rPr>
      </w:pPr>
      <w:r>
        <w:rPr>
          <w:rFonts w:ascii="Arial" w:eastAsia="Cambria" w:hAnsi="Arial" w:cs="Arial"/>
          <w:sz w:val="22"/>
          <w:szCs w:val="22"/>
          <w:lang w:val="en-US"/>
        </w:rPr>
        <w:t>Complaints about recipient banks are not limited to scam losses, but also arise in genuine payment errors where funds have been delayed or cannot be located, as well as mistaken payments (where a customer accidentally enters the incorrect account number).</w:t>
      </w:r>
    </w:p>
    <w:p w14:paraId="6F95D42A" w14:textId="77777777" w:rsidR="00295CDD" w:rsidRDefault="00295CDD" w:rsidP="00AB09B2">
      <w:pPr>
        <w:snapToGrid w:val="0"/>
        <w:spacing w:after="200" w:line="276" w:lineRule="auto"/>
        <w:rPr>
          <w:rFonts w:ascii="Arial" w:eastAsia="Cambria" w:hAnsi="Arial" w:cs="Arial"/>
          <w:sz w:val="22"/>
          <w:szCs w:val="22"/>
          <w:lang w:val="en-US"/>
        </w:rPr>
      </w:pPr>
    </w:p>
    <w:p w14:paraId="20C67CD6" w14:textId="2430C2C1" w:rsidR="00FE0950" w:rsidRPr="00D26BA5" w:rsidRDefault="00135628" w:rsidP="00DA0438">
      <w:pPr>
        <w:snapToGrid w:val="0"/>
        <w:spacing w:after="200" w:line="276" w:lineRule="auto"/>
        <w:rPr>
          <w:rFonts w:ascii="Arial" w:eastAsia="Cambria" w:hAnsi="Arial" w:cs="Arial"/>
          <w:b/>
          <w:sz w:val="22"/>
          <w:szCs w:val="22"/>
          <w:lang w:val="en-US"/>
        </w:rPr>
      </w:pPr>
      <w:r>
        <w:rPr>
          <w:rFonts w:ascii="Arial" w:eastAsia="Cambria" w:hAnsi="Arial" w:cs="Arial"/>
          <w:b/>
          <w:sz w:val="22"/>
          <w:szCs w:val="22"/>
          <w:lang w:val="en-US"/>
        </w:rPr>
        <w:lastRenderedPageBreak/>
        <w:t>C</w:t>
      </w:r>
      <w:r w:rsidR="00FE0950" w:rsidRPr="00D26BA5">
        <w:rPr>
          <w:rFonts w:ascii="Arial" w:eastAsia="Cambria" w:hAnsi="Arial" w:cs="Arial"/>
          <w:b/>
          <w:sz w:val="22"/>
          <w:szCs w:val="22"/>
          <w:lang w:val="en-US"/>
        </w:rPr>
        <w:t>omparable schemes</w:t>
      </w:r>
    </w:p>
    <w:p w14:paraId="54F30F87" w14:textId="7F930522" w:rsidR="006A0065" w:rsidRDefault="006A0065" w:rsidP="00DA0438">
      <w:pPr>
        <w:snapToGrid w:val="0"/>
        <w:spacing w:after="200" w:line="276" w:lineRule="auto"/>
        <w:rPr>
          <w:rFonts w:ascii="Arial" w:eastAsia="Cambria" w:hAnsi="Arial" w:cs="Arial"/>
          <w:sz w:val="22"/>
          <w:szCs w:val="22"/>
          <w:lang w:val="en-US"/>
        </w:rPr>
      </w:pPr>
      <w:r>
        <w:rPr>
          <w:rFonts w:ascii="Arial" w:eastAsia="Cambria" w:hAnsi="Arial" w:cs="Arial"/>
          <w:sz w:val="22"/>
          <w:szCs w:val="22"/>
          <w:lang w:val="en-US"/>
        </w:rPr>
        <w:t>The Australian Financial Complaints Authority</w:t>
      </w:r>
      <w:r w:rsidR="00FB2484">
        <w:rPr>
          <w:rFonts w:ascii="Arial" w:eastAsia="Cambria" w:hAnsi="Arial" w:cs="Arial"/>
          <w:sz w:val="22"/>
          <w:szCs w:val="22"/>
          <w:lang w:val="en-US"/>
        </w:rPr>
        <w:t xml:space="preserve"> (AFCA)</w:t>
      </w:r>
      <w:r>
        <w:rPr>
          <w:rFonts w:ascii="Arial" w:eastAsia="Cambria" w:hAnsi="Arial" w:cs="Arial"/>
          <w:sz w:val="22"/>
          <w:szCs w:val="22"/>
          <w:lang w:val="en-US"/>
        </w:rPr>
        <w:t xml:space="preserve"> does not have a general power to investigate recipient banks under its terms of reference, however it does have </w:t>
      </w:r>
      <w:r w:rsidR="00AB09B2">
        <w:rPr>
          <w:rFonts w:ascii="Arial" w:eastAsia="Cambria" w:hAnsi="Arial" w:cs="Arial"/>
          <w:sz w:val="22"/>
          <w:szCs w:val="22"/>
          <w:lang w:val="en-US"/>
        </w:rPr>
        <w:t>some</w:t>
      </w:r>
      <w:r>
        <w:rPr>
          <w:rFonts w:ascii="Arial" w:eastAsia="Cambria" w:hAnsi="Arial" w:cs="Arial"/>
          <w:sz w:val="22"/>
          <w:szCs w:val="22"/>
          <w:lang w:val="en-US"/>
        </w:rPr>
        <w:t xml:space="preserve"> jurisdiction to consider whether a recipient bank has complied with the provisions of the e-Payments code in relation to recovering mistaken payments.</w:t>
      </w:r>
      <w:r w:rsidR="0034783C">
        <w:rPr>
          <w:rFonts w:ascii="Arial" w:eastAsia="Cambria" w:hAnsi="Arial" w:cs="Arial"/>
          <w:sz w:val="22"/>
          <w:szCs w:val="22"/>
          <w:lang w:val="en-US"/>
        </w:rPr>
        <w:t xml:space="preserve"> </w:t>
      </w:r>
    </w:p>
    <w:p w14:paraId="5D6B4A81" w14:textId="7198E626" w:rsidR="00FE0950" w:rsidRDefault="006A0065" w:rsidP="00FF1196">
      <w:pPr>
        <w:snapToGrid w:val="0"/>
        <w:spacing w:after="200" w:line="276" w:lineRule="auto"/>
        <w:rPr>
          <w:rFonts w:ascii="Arial" w:eastAsia="Cambria" w:hAnsi="Arial" w:cs="Arial"/>
          <w:sz w:val="22"/>
          <w:szCs w:val="22"/>
          <w:lang w:val="en-US"/>
        </w:rPr>
      </w:pPr>
      <w:r>
        <w:rPr>
          <w:rFonts w:ascii="Arial" w:eastAsia="Cambria" w:hAnsi="Arial" w:cs="Arial"/>
          <w:sz w:val="22"/>
          <w:szCs w:val="22"/>
          <w:lang w:val="en-US"/>
        </w:rPr>
        <w:t xml:space="preserve">The Financial Ombudsman Service in the United Kingdom </w:t>
      </w:r>
      <w:r w:rsidR="00FB2484">
        <w:rPr>
          <w:rFonts w:ascii="Arial" w:eastAsia="Cambria" w:hAnsi="Arial" w:cs="Arial"/>
          <w:sz w:val="22"/>
          <w:szCs w:val="22"/>
          <w:lang w:val="en-US"/>
        </w:rPr>
        <w:t xml:space="preserve">(FOS UK) </w:t>
      </w:r>
      <w:r w:rsidR="00FF1196">
        <w:rPr>
          <w:rFonts w:ascii="Arial" w:eastAsia="Cambria" w:hAnsi="Arial" w:cs="Arial"/>
          <w:sz w:val="22"/>
          <w:szCs w:val="22"/>
          <w:lang w:val="en-US"/>
        </w:rPr>
        <w:t xml:space="preserve">can look at the conduct of the </w:t>
      </w:r>
      <w:r>
        <w:rPr>
          <w:rFonts w:ascii="Arial" w:eastAsia="Cambria" w:hAnsi="Arial" w:cs="Arial"/>
          <w:sz w:val="22"/>
          <w:szCs w:val="22"/>
          <w:lang w:val="en-US"/>
        </w:rPr>
        <w:t xml:space="preserve">recipient </w:t>
      </w:r>
      <w:r w:rsidR="005B513D">
        <w:rPr>
          <w:rFonts w:ascii="Arial" w:eastAsia="Cambria" w:hAnsi="Arial" w:cs="Arial"/>
          <w:sz w:val="22"/>
          <w:szCs w:val="22"/>
          <w:lang w:val="en-US"/>
        </w:rPr>
        <w:t>bank</w:t>
      </w:r>
      <w:r w:rsidR="00FF1196">
        <w:rPr>
          <w:rFonts w:ascii="Arial" w:eastAsia="Cambria" w:hAnsi="Arial" w:cs="Arial"/>
          <w:sz w:val="22"/>
          <w:szCs w:val="22"/>
          <w:lang w:val="en-US"/>
        </w:rPr>
        <w:t xml:space="preserve"> </w:t>
      </w:r>
      <w:proofErr w:type="gramStart"/>
      <w:r w:rsidR="00FF1196">
        <w:rPr>
          <w:rFonts w:ascii="Arial" w:eastAsia="Cambria" w:hAnsi="Arial" w:cs="Arial"/>
          <w:sz w:val="22"/>
          <w:szCs w:val="22"/>
          <w:lang w:val="en-US"/>
        </w:rPr>
        <w:t>as a result of</w:t>
      </w:r>
      <w:proofErr w:type="gramEnd"/>
      <w:r w:rsidR="00FF1196">
        <w:rPr>
          <w:rFonts w:ascii="Arial" w:eastAsia="Cambria" w:hAnsi="Arial" w:cs="Arial"/>
          <w:sz w:val="22"/>
          <w:szCs w:val="22"/>
          <w:lang w:val="en-US"/>
        </w:rPr>
        <w:t xml:space="preserve"> a change to its rules in January 2019.  </w:t>
      </w:r>
      <w:r w:rsidR="003A49B9">
        <w:rPr>
          <w:rFonts w:ascii="Arial" w:eastAsia="Cambria" w:hAnsi="Arial" w:cs="Arial"/>
          <w:sz w:val="22"/>
          <w:szCs w:val="22"/>
          <w:lang w:val="en-US"/>
        </w:rPr>
        <w:t xml:space="preserve">This change was brought about in response to efforts to address harms from </w:t>
      </w:r>
      <w:proofErr w:type="gramStart"/>
      <w:r w:rsidR="003A49B9">
        <w:rPr>
          <w:rFonts w:ascii="Arial" w:eastAsia="Cambria" w:hAnsi="Arial" w:cs="Arial"/>
          <w:sz w:val="22"/>
          <w:szCs w:val="22"/>
          <w:lang w:val="en-US"/>
        </w:rPr>
        <w:t>authorised push</w:t>
      </w:r>
      <w:proofErr w:type="gramEnd"/>
      <w:r w:rsidR="003A49B9">
        <w:rPr>
          <w:rFonts w:ascii="Arial" w:eastAsia="Cambria" w:hAnsi="Arial" w:cs="Arial"/>
          <w:sz w:val="22"/>
          <w:szCs w:val="22"/>
          <w:lang w:val="en-US"/>
        </w:rPr>
        <w:t xml:space="preserve"> payment scams (where customers are tricked into making payments to </w:t>
      </w:r>
      <w:r w:rsidR="003A49B9" w:rsidRPr="00FF1196">
        <w:rPr>
          <w:rFonts w:ascii="Arial" w:eastAsia="Cambria" w:hAnsi="Arial" w:cs="Arial"/>
          <w:sz w:val="22"/>
          <w:szCs w:val="22"/>
          <w:lang w:val="en-US"/>
        </w:rPr>
        <w:t>scammers)</w:t>
      </w:r>
      <w:r w:rsidR="00FF1196">
        <w:rPr>
          <w:rFonts w:ascii="Arial" w:eastAsia="Cambria" w:hAnsi="Arial" w:cs="Arial"/>
          <w:sz w:val="22"/>
          <w:szCs w:val="22"/>
          <w:lang w:val="en-US"/>
        </w:rPr>
        <w:t>.</w:t>
      </w:r>
    </w:p>
    <w:p w14:paraId="7902CF1E" w14:textId="77777777" w:rsidR="00FF1196" w:rsidRDefault="00FF1196" w:rsidP="00FF1196">
      <w:pPr>
        <w:snapToGrid w:val="0"/>
        <w:spacing w:after="200" w:line="276" w:lineRule="auto"/>
        <w:rPr>
          <w:rFonts w:ascii="Arial" w:hAnsi="Arial" w:cs="Arial"/>
          <w:b/>
          <w:sz w:val="22"/>
          <w:szCs w:val="22"/>
          <w:lang w:eastAsia="en-NZ"/>
        </w:rPr>
      </w:pPr>
      <w:r w:rsidRPr="00107DC6">
        <w:rPr>
          <w:rFonts w:ascii="Arial" w:hAnsi="Arial" w:cs="Arial"/>
          <w:b/>
          <w:sz w:val="22"/>
          <w:szCs w:val="22"/>
          <w:lang w:eastAsia="en-NZ"/>
        </w:rPr>
        <w:t xml:space="preserve">Options </w:t>
      </w:r>
    </w:p>
    <w:p w14:paraId="78163018" w14:textId="5D13EE4B" w:rsidR="00FE0950" w:rsidRPr="00D26BA5" w:rsidRDefault="00FE0950" w:rsidP="00DA0438">
      <w:pPr>
        <w:snapToGrid w:val="0"/>
        <w:spacing w:after="200" w:line="276" w:lineRule="auto"/>
        <w:jc w:val="both"/>
        <w:rPr>
          <w:rFonts w:ascii="Arial" w:eastAsia="Cambria" w:hAnsi="Arial" w:cs="Arial"/>
          <w:sz w:val="22"/>
          <w:szCs w:val="22"/>
        </w:rPr>
      </w:pPr>
      <w:r w:rsidRPr="00D26BA5">
        <w:rPr>
          <w:rFonts w:ascii="Arial" w:eastAsia="Cambria" w:hAnsi="Arial" w:cs="Arial"/>
          <w:i/>
          <w:sz w:val="22"/>
          <w:szCs w:val="22"/>
        </w:rPr>
        <w:t>One:</w:t>
      </w:r>
      <w:r w:rsidRPr="00D26BA5">
        <w:rPr>
          <w:rFonts w:ascii="Arial" w:eastAsia="Cambria" w:hAnsi="Arial" w:cs="Arial"/>
          <w:sz w:val="22"/>
          <w:szCs w:val="22"/>
        </w:rPr>
        <w:t xml:space="preserve"> </w:t>
      </w:r>
      <w:r w:rsidR="00CD366C">
        <w:rPr>
          <w:rFonts w:ascii="Arial" w:eastAsia="Cambria" w:hAnsi="Arial" w:cs="Arial"/>
          <w:sz w:val="22"/>
          <w:szCs w:val="22"/>
        </w:rPr>
        <w:t>Keep the current</w:t>
      </w:r>
      <w:r w:rsidR="0017316F">
        <w:rPr>
          <w:rFonts w:ascii="Arial" w:eastAsia="Cambria" w:hAnsi="Arial" w:cs="Arial"/>
          <w:sz w:val="22"/>
          <w:szCs w:val="22"/>
        </w:rPr>
        <w:t xml:space="preserve"> rule that a complaint must be brought by, or on behalf of, the person who received the banking service.</w:t>
      </w:r>
    </w:p>
    <w:p w14:paraId="4A1BD6EF" w14:textId="7BC0A3AC" w:rsidR="0036177E" w:rsidRPr="00A1528C" w:rsidRDefault="0036177E" w:rsidP="00DA0438">
      <w:pPr>
        <w:snapToGrid w:val="0"/>
        <w:spacing w:after="200" w:line="276" w:lineRule="auto"/>
        <w:jc w:val="both"/>
        <w:rPr>
          <w:rFonts w:ascii="Arial" w:eastAsia="Cambria" w:hAnsi="Arial" w:cs="Arial"/>
          <w:sz w:val="22"/>
          <w:szCs w:val="22"/>
        </w:rPr>
      </w:pPr>
      <w:r w:rsidRPr="00A1528C">
        <w:rPr>
          <w:rFonts w:ascii="Arial" w:eastAsia="Cambria" w:hAnsi="Arial" w:cs="Arial"/>
          <w:i/>
          <w:iCs/>
          <w:sz w:val="22"/>
          <w:szCs w:val="22"/>
        </w:rPr>
        <w:t>T</w:t>
      </w:r>
      <w:r w:rsidR="0003028B">
        <w:rPr>
          <w:rFonts w:ascii="Arial" w:eastAsia="Cambria" w:hAnsi="Arial" w:cs="Arial"/>
          <w:i/>
          <w:iCs/>
          <w:sz w:val="22"/>
          <w:szCs w:val="22"/>
        </w:rPr>
        <w:t>wo</w:t>
      </w:r>
      <w:r w:rsidRPr="00A1528C">
        <w:rPr>
          <w:rFonts w:ascii="Arial" w:eastAsia="Cambria" w:hAnsi="Arial" w:cs="Arial"/>
          <w:i/>
          <w:iCs/>
          <w:sz w:val="22"/>
          <w:szCs w:val="22"/>
        </w:rPr>
        <w:t xml:space="preserve">: </w:t>
      </w:r>
      <w:r w:rsidR="003C41DD">
        <w:rPr>
          <w:rFonts w:ascii="Arial" w:eastAsia="Cambria" w:hAnsi="Arial" w:cs="Arial"/>
          <w:sz w:val="22"/>
          <w:szCs w:val="22"/>
        </w:rPr>
        <w:t>C</w:t>
      </w:r>
      <w:r w:rsidRPr="00A1528C">
        <w:rPr>
          <w:rFonts w:ascii="Arial" w:eastAsia="Cambria" w:hAnsi="Arial" w:cs="Arial"/>
          <w:sz w:val="22"/>
          <w:szCs w:val="22"/>
        </w:rPr>
        <w:t xml:space="preserve">hange </w:t>
      </w:r>
      <w:r w:rsidR="00D80D0A">
        <w:rPr>
          <w:rFonts w:ascii="Arial" w:eastAsia="Cambria" w:hAnsi="Arial" w:cs="Arial"/>
          <w:sz w:val="22"/>
          <w:szCs w:val="22"/>
        </w:rPr>
        <w:t xml:space="preserve">the rule </w:t>
      </w:r>
      <w:r w:rsidR="00C00745" w:rsidRPr="00A1528C">
        <w:rPr>
          <w:rFonts w:ascii="Arial" w:eastAsia="Cambria" w:hAnsi="Arial" w:cs="Arial"/>
          <w:sz w:val="22"/>
          <w:szCs w:val="22"/>
        </w:rPr>
        <w:t xml:space="preserve">to </w:t>
      </w:r>
      <w:r w:rsidRPr="00A1528C">
        <w:rPr>
          <w:rFonts w:ascii="Arial" w:eastAsia="Cambria" w:hAnsi="Arial" w:cs="Arial"/>
          <w:sz w:val="22"/>
          <w:szCs w:val="22"/>
        </w:rPr>
        <w:t>allow complaints to be brought about a</w:t>
      </w:r>
      <w:r w:rsidR="00C00745" w:rsidRPr="00A1528C">
        <w:rPr>
          <w:rFonts w:ascii="Arial" w:eastAsia="Cambria" w:hAnsi="Arial" w:cs="Arial"/>
          <w:sz w:val="22"/>
          <w:szCs w:val="22"/>
        </w:rPr>
        <w:t xml:space="preserve"> </w:t>
      </w:r>
      <w:r w:rsidRPr="00A1528C">
        <w:rPr>
          <w:rFonts w:ascii="Arial" w:eastAsia="Cambria" w:hAnsi="Arial" w:cs="Arial"/>
          <w:sz w:val="22"/>
          <w:szCs w:val="22"/>
        </w:rPr>
        <w:t>recipient bank</w:t>
      </w:r>
      <w:r w:rsidR="006505B3">
        <w:rPr>
          <w:rFonts w:ascii="Arial" w:eastAsia="Cambria" w:hAnsi="Arial" w:cs="Arial"/>
          <w:sz w:val="22"/>
          <w:szCs w:val="22"/>
        </w:rPr>
        <w:t xml:space="preserve"> </w:t>
      </w:r>
      <w:r w:rsidRPr="00A1528C">
        <w:rPr>
          <w:rFonts w:ascii="Arial" w:eastAsia="Cambria" w:hAnsi="Arial" w:cs="Arial"/>
          <w:sz w:val="22"/>
          <w:szCs w:val="22"/>
        </w:rPr>
        <w:t>by the sender of a payment.</w:t>
      </w:r>
    </w:p>
    <w:p w14:paraId="6107DE77" w14:textId="2B4F0713" w:rsidR="00FE0950" w:rsidRDefault="00FE0950" w:rsidP="00DA0438">
      <w:pPr>
        <w:snapToGrid w:val="0"/>
        <w:spacing w:after="200" w:line="276" w:lineRule="auto"/>
        <w:rPr>
          <w:rFonts w:ascii="Arial" w:eastAsia="Cambria" w:hAnsi="Arial" w:cs="Arial"/>
          <w:b/>
          <w:bCs/>
          <w:color w:val="00B0F0"/>
          <w:sz w:val="22"/>
          <w:szCs w:val="22"/>
          <w:lang w:val="en-US"/>
        </w:rPr>
      </w:pPr>
      <w:r w:rsidRPr="00D26BA5">
        <w:rPr>
          <w:rFonts w:ascii="Arial" w:eastAsia="Cambria" w:hAnsi="Arial" w:cs="Arial"/>
          <w:sz w:val="22"/>
          <w:szCs w:val="22"/>
          <w:lang w:val="en-US"/>
        </w:rPr>
        <w:br w:type="page"/>
      </w:r>
    </w:p>
    <w:tbl>
      <w:tblPr>
        <w:tblStyle w:val="TableGrid"/>
        <w:tblW w:w="0" w:type="auto"/>
        <w:tblLook w:val="04A0" w:firstRow="1" w:lastRow="0" w:firstColumn="1" w:lastColumn="0" w:noHBand="0" w:noVBand="1"/>
      </w:tblPr>
      <w:tblGrid>
        <w:gridCol w:w="9016"/>
      </w:tblGrid>
      <w:tr w:rsidR="00FE6E01" w:rsidRPr="00FE6E01" w14:paraId="32C7D5F1" w14:textId="77777777" w:rsidTr="009204E7">
        <w:trPr>
          <w:trHeight w:val="1276"/>
        </w:trPr>
        <w:tc>
          <w:tcPr>
            <w:tcW w:w="9016" w:type="dxa"/>
            <w:tcBorders>
              <w:top w:val="nil"/>
              <w:left w:val="nil"/>
              <w:bottom w:val="nil"/>
              <w:right w:val="nil"/>
            </w:tcBorders>
            <w:shd w:val="clear" w:color="auto" w:fill="00ACC9"/>
            <w:vAlign w:val="bottom"/>
          </w:tcPr>
          <w:p w14:paraId="4F455B2E" w14:textId="4B66D0E9" w:rsidR="00FE6E01" w:rsidRPr="00FE6E01" w:rsidRDefault="00FE6E01" w:rsidP="00A4540E">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lastRenderedPageBreak/>
              <w:t xml:space="preserve">Enable claimants to waive the amount of their claims </w:t>
            </w:r>
            <w:r>
              <w:rPr>
                <w:rFonts w:ascii="Arial" w:hAnsi="Arial" w:cs="Arial"/>
                <w:b/>
                <w:color w:val="FFFFFF" w:themeColor="background1"/>
                <w:sz w:val="28"/>
                <w:szCs w:val="28"/>
              </w:rPr>
              <w:br/>
            </w:r>
            <w:proofErr w:type="gramStart"/>
            <w:r w:rsidRPr="00FE6E01">
              <w:rPr>
                <w:rFonts w:ascii="Arial" w:hAnsi="Arial" w:cs="Arial"/>
                <w:b/>
                <w:color w:val="FFFFFF" w:themeColor="background1"/>
                <w:sz w:val="28"/>
                <w:szCs w:val="28"/>
              </w:rPr>
              <w:t>in excess of</w:t>
            </w:r>
            <w:proofErr w:type="gramEnd"/>
            <w:r w:rsidRPr="00FE6E01">
              <w:rPr>
                <w:rFonts w:ascii="Arial" w:hAnsi="Arial" w:cs="Arial"/>
                <w:b/>
                <w:color w:val="FFFFFF" w:themeColor="background1"/>
                <w:sz w:val="28"/>
                <w:szCs w:val="28"/>
              </w:rPr>
              <w:t xml:space="preserve"> the jurisdictional limit.</w:t>
            </w:r>
          </w:p>
        </w:tc>
      </w:tr>
    </w:tbl>
    <w:p w14:paraId="52245C13" w14:textId="77777777" w:rsidR="00135628" w:rsidRPr="009204E7" w:rsidRDefault="00135628" w:rsidP="00DA0438">
      <w:pPr>
        <w:snapToGrid w:val="0"/>
        <w:spacing w:after="200" w:line="276" w:lineRule="auto"/>
        <w:jc w:val="both"/>
        <w:rPr>
          <w:rFonts w:ascii="Arial" w:eastAsia="Cambria" w:hAnsi="Arial" w:cs="Arial"/>
          <w:sz w:val="2"/>
          <w:szCs w:val="2"/>
          <w:lang w:val="en-US"/>
        </w:rPr>
      </w:pPr>
    </w:p>
    <w:p w14:paraId="05EE53F3" w14:textId="7DAC32C3" w:rsidR="00FE0950" w:rsidRPr="00D26BA5" w:rsidRDefault="00FE0950" w:rsidP="00DA0438">
      <w:pPr>
        <w:snapToGrid w:val="0"/>
        <w:spacing w:after="200" w:line="276" w:lineRule="auto"/>
        <w:jc w:val="both"/>
        <w:rPr>
          <w:rFonts w:ascii="Arial" w:eastAsia="Cambria" w:hAnsi="Arial" w:cs="Arial"/>
          <w:sz w:val="22"/>
          <w:szCs w:val="22"/>
          <w:lang w:val="en-US"/>
        </w:rPr>
      </w:pPr>
      <w:r w:rsidRPr="00D26BA5">
        <w:rPr>
          <w:rFonts w:ascii="Arial" w:eastAsia="Cambria" w:hAnsi="Arial" w:cs="Arial"/>
          <w:sz w:val="22"/>
          <w:szCs w:val="22"/>
          <w:lang w:val="en-US"/>
        </w:rPr>
        <w:t xml:space="preserve">Recommendation </w:t>
      </w:r>
      <w:r w:rsidR="00CD366C">
        <w:rPr>
          <w:rFonts w:ascii="Arial" w:eastAsia="Cambria" w:hAnsi="Arial" w:cs="Arial"/>
          <w:sz w:val="22"/>
          <w:szCs w:val="22"/>
          <w:lang w:val="en-US"/>
        </w:rPr>
        <w:t>4</w:t>
      </w:r>
      <w:r w:rsidRPr="00D26BA5">
        <w:rPr>
          <w:rFonts w:ascii="Arial" w:eastAsia="Cambria" w:hAnsi="Arial" w:cs="Arial"/>
          <w:sz w:val="22"/>
          <w:szCs w:val="22"/>
          <w:lang w:val="en-US"/>
        </w:rPr>
        <w:t xml:space="preserve"> proposes </w:t>
      </w:r>
      <w:r w:rsidR="00CD366C">
        <w:rPr>
          <w:rFonts w:ascii="Arial" w:eastAsia="Cambria" w:hAnsi="Arial" w:cs="Arial"/>
          <w:sz w:val="22"/>
          <w:szCs w:val="22"/>
          <w:lang w:val="en-US"/>
        </w:rPr>
        <w:t>enabling claimants to waive</w:t>
      </w:r>
      <w:r w:rsidR="00C00745">
        <w:rPr>
          <w:rFonts w:ascii="Arial" w:eastAsia="Cambria" w:hAnsi="Arial" w:cs="Arial"/>
          <w:sz w:val="22"/>
          <w:szCs w:val="22"/>
          <w:lang w:val="en-US"/>
        </w:rPr>
        <w:t xml:space="preserve"> </w:t>
      </w:r>
      <w:r w:rsidR="00CD366C">
        <w:rPr>
          <w:rFonts w:ascii="Arial" w:eastAsia="Cambria" w:hAnsi="Arial" w:cs="Arial"/>
          <w:sz w:val="22"/>
          <w:szCs w:val="22"/>
          <w:lang w:val="en-US"/>
        </w:rPr>
        <w:t xml:space="preserve">the amount of their claims </w:t>
      </w:r>
      <w:proofErr w:type="gramStart"/>
      <w:r w:rsidR="00CD366C">
        <w:rPr>
          <w:rFonts w:ascii="Arial" w:eastAsia="Cambria" w:hAnsi="Arial" w:cs="Arial"/>
          <w:sz w:val="22"/>
          <w:szCs w:val="22"/>
          <w:lang w:val="en-US"/>
        </w:rPr>
        <w:t>in excess of</w:t>
      </w:r>
      <w:proofErr w:type="gramEnd"/>
      <w:r w:rsidR="00CD366C">
        <w:rPr>
          <w:rFonts w:ascii="Arial" w:eastAsia="Cambria" w:hAnsi="Arial" w:cs="Arial"/>
          <w:sz w:val="22"/>
          <w:szCs w:val="22"/>
          <w:lang w:val="en-US"/>
        </w:rPr>
        <w:t xml:space="preserve"> the jurisdictional limit.</w:t>
      </w:r>
    </w:p>
    <w:p w14:paraId="23174727" w14:textId="5E0BC30E" w:rsidR="00FE0950" w:rsidRDefault="00FE0950" w:rsidP="00DA0438">
      <w:pPr>
        <w:snapToGrid w:val="0"/>
        <w:spacing w:after="200" w:line="276" w:lineRule="auto"/>
        <w:jc w:val="both"/>
        <w:rPr>
          <w:rFonts w:ascii="Arial" w:eastAsia="Cambria" w:hAnsi="Arial" w:cs="Arial"/>
          <w:sz w:val="22"/>
          <w:szCs w:val="22"/>
          <w:lang w:val="en-US"/>
        </w:rPr>
      </w:pPr>
      <w:r w:rsidRPr="00D26BA5">
        <w:rPr>
          <w:rFonts w:ascii="Arial" w:eastAsia="Cambria" w:hAnsi="Arial" w:cs="Arial"/>
          <w:sz w:val="22"/>
          <w:szCs w:val="22"/>
          <w:lang w:val="en-US"/>
        </w:rPr>
        <w:t xml:space="preserve">Currently, the scheme cannot consider a complaint if it </w:t>
      </w:r>
      <w:proofErr w:type="gramStart"/>
      <w:r w:rsidRPr="00D26BA5">
        <w:rPr>
          <w:rFonts w:ascii="Arial" w:eastAsia="Cambria" w:hAnsi="Arial" w:cs="Arial"/>
          <w:sz w:val="22"/>
          <w:szCs w:val="22"/>
          <w:lang w:val="en-US"/>
        </w:rPr>
        <w:t>decides</w:t>
      </w:r>
      <w:proofErr w:type="gramEnd"/>
      <w:r w:rsidRPr="00D26BA5">
        <w:rPr>
          <w:rFonts w:ascii="Arial" w:eastAsia="Cambria" w:hAnsi="Arial" w:cs="Arial"/>
          <w:sz w:val="22"/>
          <w:szCs w:val="22"/>
          <w:lang w:val="en-US"/>
        </w:rPr>
        <w:t xml:space="preserve"> </w:t>
      </w:r>
      <w:r w:rsidR="00AB722D">
        <w:rPr>
          <w:rFonts w:ascii="Arial" w:eastAsia="Cambria" w:hAnsi="Arial" w:cs="Arial"/>
          <w:sz w:val="22"/>
          <w:szCs w:val="22"/>
          <w:lang w:val="en-US"/>
        </w:rPr>
        <w:t xml:space="preserve">a complainant’s </w:t>
      </w:r>
      <w:r w:rsidRPr="00D26BA5">
        <w:rPr>
          <w:rFonts w:ascii="Arial" w:eastAsia="Cambria" w:hAnsi="Arial" w:cs="Arial"/>
          <w:sz w:val="22"/>
          <w:szCs w:val="22"/>
          <w:lang w:val="en-US"/>
        </w:rPr>
        <w:t>claim is, or is likely to be, more than $</w:t>
      </w:r>
      <w:r w:rsidR="00CD366C">
        <w:rPr>
          <w:rFonts w:ascii="Arial" w:eastAsia="Cambria" w:hAnsi="Arial" w:cs="Arial"/>
          <w:sz w:val="22"/>
          <w:szCs w:val="22"/>
          <w:lang w:val="en-US"/>
        </w:rPr>
        <w:t>5</w:t>
      </w:r>
      <w:r w:rsidRPr="00D26BA5">
        <w:rPr>
          <w:rFonts w:ascii="Arial" w:eastAsia="Cambria" w:hAnsi="Arial" w:cs="Arial"/>
          <w:sz w:val="22"/>
          <w:szCs w:val="22"/>
          <w:lang w:val="en-US"/>
        </w:rPr>
        <w:t>00,000</w:t>
      </w:r>
      <w:r w:rsidR="00D260BA">
        <w:rPr>
          <w:rFonts w:ascii="Arial" w:eastAsia="Cambria" w:hAnsi="Arial" w:cs="Arial"/>
          <w:sz w:val="22"/>
          <w:szCs w:val="22"/>
          <w:lang w:val="en-US"/>
        </w:rPr>
        <w:t xml:space="preserve"> for direct loss and direct incidental expenses, or more than $2,600 (plus GST, if any) per week where a claim relate</w:t>
      </w:r>
      <w:r w:rsidR="00C00745">
        <w:rPr>
          <w:rFonts w:ascii="Arial" w:eastAsia="Cambria" w:hAnsi="Arial" w:cs="Arial"/>
          <w:sz w:val="22"/>
          <w:szCs w:val="22"/>
          <w:lang w:val="en-US"/>
        </w:rPr>
        <w:t>s</w:t>
      </w:r>
      <w:r w:rsidR="00D260BA">
        <w:rPr>
          <w:rFonts w:ascii="Arial" w:eastAsia="Cambria" w:hAnsi="Arial" w:cs="Arial"/>
          <w:sz w:val="22"/>
          <w:szCs w:val="22"/>
          <w:lang w:val="en-US"/>
        </w:rPr>
        <w:t xml:space="preserve"> to a product that provides regular payments </w:t>
      </w:r>
      <w:r w:rsidRPr="00D26BA5">
        <w:rPr>
          <w:rFonts w:ascii="Arial" w:eastAsia="Cambria" w:hAnsi="Arial" w:cs="Arial"/>
          <w:sz w:val="22"/>
          <w:szCs w:val="22"/>
          <w:lang w:val="en-US"/>
        </w:rPr>
        <w:t>(</w:t>
      </w:r>
      <w:r w:rsidR="00D260BA">
        <w:rPr>
          <w:rFonts w:ascii="Arial" w:eastAsia="Cambria" w:hAnsi="Arial" w:cs="Arial"/>
          <w:sz w:val="22"/>
          <w:szCs w:val="22"/>
          <w:lang w:val="en-US"/>
        </w:rPr>
        <w:t>rule</w:t>
      </w:r>
      <w:r w:rsidRPr="00D26BA5">
        <w:rPr>
          <w:rFonts w:ascii="Arial" w:eastAsia="Cambria" w:hAnsi="Arial" w:cs="Arial"/>
          <w:sz w:val="22"/>
          <w:szCs w:val="22"/>
          <w:lang w:val="en-US"/>
        </w:rPr>
        <w:t xml:space="preserve"> </w:t>
      </w:r>
      <w:r w:rsidR="00D260BA">
        <w:rPr>
          <w:rFonts w:ascii="Arial" w:eastAsia="Cambria" w:hAnsi="Arial" w:cs="Arial"/>
          <w:sz w:val="22"/>
          <w:szCs w:val="22"/>
          <w:lang w:val="en-US"/>
        </w:rPr>
        <w:t>3.1</w:t>
      </w:r>
      <w:r w:rsidRPr="00D26BA5">
        <w:rPr>
          <w:rFonts w:ascii="Arial" w:eastAsia="Cambria" w:hAnsi="Arial" w:cs="Arial"/>
          <w:sz w:val="22"/>
          <w:szCs w:val="22"/>
          <w:lang w:val="en-US"/>
        </w:rPr>
        <w:t>). There is one exception</w:t>
      </w:r>
      <w:r w:rsidR="00C00745">
        <w:rPr>
          <w:rFonts w:ascii="Arial" w:eastAsia="Cambria" w:hAnsi="Arial" w:cs="Arial"/>
          <w:sz w:val="22"/>
          <w:szCs w:val="22"/>
          <w:lang w:val="en-US"/>
        </w:rPr>
        <w:t>:</w:t>
      </w:r>
      <w:r w:rsidRPr="00D26BA5">
        <w:rPr>
          <w:rFonts w:ascii="Arial" w:eastAsia="Cambria" w:hAnsi="Arial" w:cs="Arial"/>
          <w:sz w:val="22"/>
          <w:szCs w:val="22"/>
          <w:lang w:val="en-US"/>
        </w:rPr>
        <w:t xml:space="preserve"> </w:t>
      </w:r>
      <w:r w:rsidR="00C00745">
        <w:rPr>
          <w:rFonts w:ascii="Arial" w:eastAsia="Cambria" w:hAnsi="Arial" w:cs="Arial"/>
          <w:sz w:val="22"/>
          <w:szCs w:val="22"/>
          <w:lang w:val="en-US"/>
        </w:rPr>
        <w:t>t</w:t>
      </w:r>
      <w:r w:rsidRPr="00D26BA5">
        <w:rPr>
          <w:rFonts w:ascii="Arial" w:eastAsia="Cambria" w:hAnsi="Arial" w:cs="Arial"/>
          <w:sz w:val="22"/>
          <w:szCs w:val="22"/>
          <w:lang w:val="en-US"/>
        </w:rPr>
        <w:t xml:space="preserve">he scheme can </w:t>
      </w:r>
      <w:proofErr w:type="gramStart"/>
      <w:r w:rsidRPr="00D26BA5">
        <w:rPr>
          <w:rFonts w:ascii="Arial" w:eastAsia="Cambria" w:hAnsi="Arial" w:cs="Arial"/>
          <w:sz w:val="22"/>
          <w:szCs w:val="22"/>
          <w:lang w:val="en-US"/>
        </w:rPr>
        <w:t>look into</w:t>
      </w:r>
      <w:proofErr w:type="gramEnd"/>
      <w:r w:rsidRPr="00D26BA5">
        <w:rPr>
          <w:rFonts w:ascii="Arial" w:eastAsia="Cambria" w:hAnsi="Arial" w:cs="Arial"/>
          <w:sz w:val="22"/>
          <w:szCs w:val="22"/>
          <w:lang w:val="en-US"/>
        </w:rPr>
        <w:t xml:space="preserve"> a complaint </w:t>
      </w:r>
      <w:r w:rsidR="00CD366C">
        <w:rPr>
          <w:rFonts w:ascii="Arial" w:eastAsia="Cambria" w:hAnsi="Arial" w:cs="Arial"/>
          <w:sz w:val="22"/>
          <w:szCs w:val="22"/>
          <w:lang w:val="en-US"/>
        </w:rPr>
        <w:t xml:space="preserve">that would otherwise be outside its rules if both sides </w:t>
      </w:r>
      <w:proofErr w:type="gramStart"/>
      <w:r w:rsidR="00CD366C">
        <w:rPr>
          <w:rFonts w:ascii="Arial" w:eastAsia="Cambria" w:hAnsi="Arial" w:cs="Arial"/>
          <w:sz w:val="22"/>
          <w:szCs w:val="22"/>
          <w:lang w:val="en-US"/>
        </w:rPr>
        <w:t>agree</w:t>
      </w:r>
      <w:proofErr w:type="gramEnd"/>
      <w:r w:rsidRPr="00D26BA5">
        <w:rPr>
          <w:rFonts w:ascii="Arial" w:eastAsia="Cambria" w:hAnsi="Arial" w:cs="Arial"/>
          <w:sz w:val="22"/>
          <w:szCs w:val="22"/>
          <w:lang w:val="en-US"/>
        </w:rPr>
        <w:t xml:space="preserve"> (</w:t>
      </w:r>
      <w:r w:rsidR="00D260BA">
        <w:rPr>
          <w:rFonts w:ascii="Arial" w:eastAsia="Cambria" w:hAnsi="Arial" w:cs="Arial"/>
          <w:sz w:val="22"/>
          <w:szCs w:val="22"/>
          <w:lang w:val="en-US"/>
        </w:rPr>
        <w:t>rule</w:t>
      </w:r>
      <w:r w:rsidRPr="00D26BA5">
        <w:rPr>
          <w:rFonts w:ascii="Arial" w:eastAsia="Cambria" w:hAnsi="Arial" w:cs="Arial"/>
          <w:sz w:val="22"/>
          <w:szCs w:val="22"/>
          <w:lang w:val="en-US"/>
        </w:rPr>
        <w:t xml:space="preserve"> </w:t>
      </w:r>
      <w:r w:rsidR="00CD366C">
        <w:rPr>
          <w:rFonts w:ascii="Arial" w:eastAsia="Cambria" w:hAnsi="Arial" w:cs="Arial"/>
          <w:sz w:val="22"/>
          <w:szCs w:val="22"/>
          <w:lang w:val="en-US"/>
        </w:rPr>
        <w:t>4</w:t>
      </w:r>
      <w:r w:rsidRPr="00D26BA5">
        <w:rPr>
          <w:rFonts w:ascii="Arial" w:eastAsia="Cambria" w:hAnsi="Arial" w:cs="Arial"/>
          <w:sz w:val="22"/>
          <w:szCs w:val="22"/>
          <w:lang w:val="en-US"/>
        </w:rPr>
        <w:t xml:space="preserve">). </w:t>
      </w:r>
      <w:proofErr w:type="gramStart"/>
      <w:r w:rsidRPr="00FF1196">
        <w:rPr>
          <w:rFonts w:ascii="Arial" w:eastAsia="Cambria" w:hAnsi="Arial" w:cs="Arial"/>
          <w:sz w:val="22"/>
          <w:szCs w:val="22"/>
          <w:lang w:val="en-US"/>
        </w:rPr>
        <w:t>But</w:t>
      </w:r>
      <w:r w:rsidR="00C00745" w:rsidRPr="00FF1196">
        <w:rPr>
          <w:rFonts w:ascii="Arial" w:eastAsia="Cambria" w:hAnsi="Arial" w:cs="Arial"/>
          <w:sz w:val="22"/>
          <w:szCs w:val="22"/>
          <w:lang w:val="en-US"/>
        </w:rPr>
        <w:t xml:space="preserve"> in reality,</w:t>
      </w:r>
      <w:r w:rsidRPr="00FF1196">
        <w:rPr>
          <w:rFonts w:ascii="Arial" w:eastAsia="Cambria" w:hAnsi="Arial" w:cs="Arial"/>
          <w:sz w:val="22"/>
          <w:szCs w:val="22"/>
          <w:lang w:val="en-US"/>
        </w:rPr>
        <w:t xml:space="preserve"> this</w:t>
      </w:r>
      <w:proofErr w:type="gramEnd"/>
      <w:r w:rsidRPr="00FF1196">
        <w:rPr>
          <w:rFonts w:ascii="Arial" w:eastAsia="Cambria" w:hAnsi="Arial" w:cs="Arial"/>
          <w:sz w:val="22"/>
          <w:szCs w:val="22"/>
          <w:lang w:val="en-US"/>
        </w:rPr>
        <w:t xml:space="preserve"> discretion rests with banks alone. Without </w:t>
      </w:r>
      <w:r w:rsidR="00C00745" w:rsidRPr="00FF1196">
        <w:rPr>
          <w:rFonts w:ascii="Arial" w:eastAsia="Cambria" w:hAnsi="Arial" w:cs="Arial"/>
          <w:sz w:val="22"/>
          <w:szCs w:val="22"/>
          <w:lang w:val="en-US"/>
        </w:rPr>
        <w:t>bank agreement</w:t>
      </w:r>
      <w:r w:rsidRPr="00FF1196">
        <w:rPr>
          <w:rFonts w:ascii="Arial" w:eastAsia="Cambria" w:hAnsi="Arial" w:cs="Arial"/>
          <w:sz w:val="22"/>
          <w:szCs w:val="22"/>
          <w:lang w:val="en-US"/>
        </w:rPr>
        <w:t>, the scheme must refuse to</w:t>
      </w:r>
      <w:r w:rsidRPr="00D26BA5">
        <w:rPr>
          <w:rFonts w:ascii="Arial" w:eastAsia="Cambria" w:hAnsi="Arial" w:cs="Arial"/>
          <w:sz w:val="22"/>
          <w:szCs w:val="22"/>
          <w:lang w:val="en-US"/>
        </w:rPr>
        <w:t xml:space="preserve"> consider the matter. </w:t>
      </w:r>
    </w:p>
    <w:p w14:paraId="4C4F3B86" w14:textId="7738C955" w:rsidR="009520BF" w:rsidRPr="00D26BA5" w:rsidRDefault="009520BF" w:rsidP="00DA0438">
      <w:pPr>
        <w:snapToGrid w:val="0"/>
        <w:spacing w:after="200" w:line="276" w:lineRule="auto"/>
        <w:jc w:val="both"/>
        <w:rPr>
          <w:rFonts w:ascii="Arial" w:eastAsia="Cambria" w:hAnsi="Arial" w:cs="Arial"/>
          <w:sz w:val="22"/>
          <w:szCs w:val="22"/>
          <w:lang w:val="en-US"/>
        </w:rPr>
      </w:pPr>
      <w:r>
        <w:rPr>
          <w:rFonts w:ascii="Arial" w:eastAsia="Cambria" w:hAnsi="Arial" w:cs="Arial"/>
          <w:sz w:val="22"/>
          <w:szCs w:val="22"/>
          <w:lang w:val="en-US"/>
        </w:rPr>
        <w:t>The review noted that</w:t>
      </w:r>
      <w:r w:rsidR="00C00745">
        <w:rPr>
          <w:rFonts w:ascii="Arial" w:eastAsia="Cambria" w:hAnsi="Arial" w:cs="Arial"/>
          <w:sz w:val="22"/>
          <w:szCs w:val="22"/>
          <w:lang w:val="en-US"/>
        </w:rPr>
        <w:t xml:space="preserve"> the</w:t>
      </w:r>
      <w:r>
        <w:rPr>
          <w:rFonts w:ascii="Arial" w:eastAsia="Cambria" w:hAnsi="Arial" w:cs="Arial"/>
          <w:sz w:val="22"/>
          <w:szCs w:val="22"/>
          <w:lang w:val="en-US"/>
        </w:rPr>
        <w:t xml:space="preserve"> jurisdictional limit is problematic for fraud and scam cases where losses may exceed the limit and </w:t>
      </w:r>
      <w:r w:rsidR="000E635B">
        <w:rPr>
          <w:rFonts w:ascii="Arial" w:eastAsia="Cambria" w:hAnsi="Arial" w:cs="Arial"/>
          <w:sz w:val="22"/>
          <w:szCs w:val="22"/>
          <w:lang w:val="en-US"/>
        </w:rPr>
        <w:t xml:space="preserve">where customer resources have been </w:t>
      </w:r>
      <w:r w:rsidR="0036177E">
        <w:rPr>
          <w:rFonts w:ascii="Arial" w:eastAsia="Cambria" w:hAnsi="Arial" w:cs="Arial"/>
          <w:sz w:val="22"/>
          <w:szCs w:val="22"/>
          <w:lang w:val="en-US"/>
        </w:rPr>
        <w:t xml:space="preserve">depleted </w:t>
      </w:r>
      <w:proofErr w:type="gramStart"/>
      <w:r w:rsidR="0036177E">
        <w:rPr>
          <w:rFonts w:ascii="Arial" w:eastAsia="Cambria" w:hAnsi="Arial" w:cs="Arial"/>
          <w:sz w:val="22"/>
          <w:szCs w:val="22"/>
          <w:lang w:val="en-US"/>
        </w:rPr>
        <w:t>as a consequence of</w:t>
      </w:r>
      <w:proofErr w:type="gramEnd"/>
      <w:r w:rsidR="0036177E">
        <w:rPr>
          <w:rFonts w:ascii="Arial" w:eastAsia="Cambria" w:hAnsi="Arial" w:cs="Arial"/>
          <w:sz w:val="22"/>
          <w:szCs w:val="22"/>
          <w:lang w:val="en-US"/>
        </w:rPr>
        <w:t xml:space="preserve"> the scam – leaving customers unable to fund </w:t>
      </w:r>
      <w:r w:rsidR="00512E2C">
        <w:rPr>
          <w:rFonts w:ascii="Arial" w:eastAsia="Cambria" w:hAnsi="Arial" w:cs="Arial"/>
          <w:sz w:val="22"/>
          <w:szCs w:val="22"/>
          <w:lang w:val="en-US"/>
        </w:rPr>
        <w:t>court action.</w:t>
      </w:r>
    </w:p>
    <w:p w14:paraId="1F6306A7" w14:textId="216044BD" w:rsidR="00FA1114" w:rsidRDefault="00FE0950" w:rsidP="00DA0438">
      <w:pPr>
        <w:snapToGrid w:val="0"/>
        <w:spacing w:after="200" w:line="276" w:lineRule="auto"/>
        <w:jc w:val="both"/>
        <w:rPr>
          <w:rFonts w:ascii="Arial" w:eastAsia="Cambria" w:hAnsi="Arial" w:cs="Arial"/>
          <w:sz w:val="22"/>
          <w:szCs w:val="22"/>
          <w:lang w:val="en-US"/>
        </w:rPr>
      </w:pPr>
      <w:r w:rsidRPr="00D26BA5">
        <w:rPr>
          <w:rFonts w:ascii="Arial" w:eastAsia="Cambria" w:hAnsi="Arial" w:cs="Arial"/>
          <w:sz w:val="22"/>
          <w:szCs w:val="22"/>
          <w:lang w:val="en-US"/>
        </w:rPr>
        <w:t xml:space="preserve">The scheme’s </w:t>
      </w:r>
      <w:r w:rsidR="00FA1114">
        <w:rPr>
          <w:rFonts w:ascii="Arial" w:eastAsia="Cambria" w:hAnsi="Arial" w:cs="Arial"/>
          <w:sz w:val="22"/>
          <w:szCs w:val="22"/>
          <w:lang w:val="en-US"/>
        </w:rPr>
        <w:t>financial</w:t>
      </w:r>
      <w:r w:rsidRPr="00D26BA5">
        <w:rPr>
          <w:rFonts w:ascii="Arial" w:eastAsia="Cambria" w:hAnsi="Arial" w:cs="Arial"/>
          <w:sz w:val="22"/>
          <w:szCs w:val="22"/>
          <w:lang w:val="en-US"/>
        </w:rPr>
        <w:t xml:space="preserve"> limit affects only a </w:t>
      </w:r>
      <w:r w:rsidR="00F8572A">
        <w:rPr>
          <w:rFonts w:ascii="Arial" w:eastAsia="Cambria" w:hAnsi="Arial" w:cs="Arial"/>
          <w:sz w:val="22"/>
          <w:szCs w:val="22"/>
          <w:lang w:val="en-US"/>
        </w:rPr>
        <w:t>small number</w:t>
      </w:r>
      <w:r w:rsidRPr="00D26BA5">
        <w:rPr>
          <w:rFonts w:ascii="Arial" w:eastAsia="Cambria" w:hAnsi="Arial" w:cs="Arial"/>
          <w:sz w:val="22"/>
          <w:szCs w:val="22"/>
          <w:lang w:val="en-US"/>
        </w:rPr>
        <w:t xml:space="preserve"> of cases. </w:t>
      </w:r>
      <w:r w:rsidR="00FA1114">
        <w:rPr>
          <w:rFonts w:ascii="Arial" w:eastAsia="Cambria" w:hAnsi="Arial" w:cs="Arial"/>
          <w:sz w:val="22"/>
          <w:szCs w:val="22"/>
          <w:lang w:val="en-US"/>
        </w:rPr>
        <w:t xml:space="preserve">Since 1 July 2019, </w:t>
      </w:r>
      <w:r w:rsidR="000E635B">
        <w:rPr>
          <w:rFonts w:ascii="Arial" w:eastAsia="Cambria" w:hAnsi="Arial" w:cs="Arial"/>
          <w:sz w:val="22"/>
          <w:szCs w:val="22"/>
          <w:lang w:val="en-US"/>
        </w:rPr>
        <w:t>the scheme has</w:t>
      </w:r>
      <w:r w:rsidR="00FA1114">
        <w:rPr>
          <w:rFonts w:ascii="Arial" w:eastAsia="Cambria" w:hAnsi="Arial" w:cs="Arial"/>
          <w:sz w:val="22"/>
          <w:szCs w:val="22"/>
          <w:lang w:val="en-US"/>
        </w:rPr>
        <w:t xml:space="preserve"> </w:t>
      </w:r>
      <w:r w:rsidR="000E635B">
        <w:rPr>
          <w:rFonts w:ascii="Arial" w:eastAsia="Cambria" w:hAnsi="Arial" w:cs="Arial"/>
          <w:sz w:val="22"/>
          <w:szCs w:val="22"/>
          <w:lang w:val="en-US"/>
        </w:rPr>
        <w:t xml:space="preserve">formally </w:t>
      </w:r>
      <w:r w:rsidR="001B17BD">
        <w:rPr>
          <w:rFonts w:ascii="Arial" w:eastAsia="Cambria" w:hAnsi="Arial" w:cs="Arial"/>
          <w:sz w:val="22"/>
          <w:szCs w:val="22"/>
          <w:lang w:val="en-US"/>
        </w:rPr>
        <w:t>declined to</w:t>
      </w:r>
      <w:r w:rsidR="000E635B">
        <w:rPr>
          <w:rFonts w:ascii="Arial" w:eastAsia="Cambria" w:hAnsi="Arial" w:cs="Arial"/>
          <w:sz w:val="22"/>
          <w:szCs w:val="22"/>
          <w:lang w:val="en-US"/>
        </w:rPr>
        <w:t xml:space="preserve"> consider seven cases </w:t>
      </w:r>
      <w:r w:rsidR="00FA1114">
        <w:rPr>
          <w:rFonts w:ascii="Arial" w:eastAsia="Cambria" w:hAnsi="Arial" w:cs="Arial"/>
          <w:sz w:val="22"/>
          <w:szCs w:val="22"/>
          <w:lang w:val="en-US"/>
        </w:rPr>
        <w:t>due to the claims exceeding the financial limit.</w:t>
      </w:r>
      <w:r w:rsidR="00F8572A">
        <w:rPr>
          <w:rStyle w:val="FootnoteReference"/>
          <w:rFonts w:ascii="Arial" w:eastAsia="Cambria" w:hAnsi="Arial" w:cs="Arial"/>
          <w:sz w:val="22"/>
          <w:szCs w:val="22"/>
          <w:lang w:val="en-US"/>
        </w:rPr>
        <w:footnoteReference w:id="2"/>
      </w:r>
      <w:r w:rsidR="00FA1114">
        <w:rPr>
          <w:rFonts w:ascii="Arial" w:eastAsia="Cambria" w:hAnsi="Arial" w:cs="Arial"/>
          <w:sz w:val="22"/>
          <w:szCs w:val="22"/>
          <w:lang w:val="en-US"/>
        </w:rPr>
        <w:t xml:space="preserve"> Five of the seven cases exceed the </w:t>
      </w:r>
      <w:r w:rsidR="009520BF">
        <w:rPr>
          <w:rFonts w:ascii="Arial" w:eastAsia="Cambria" w:hAnsi="Arial" w:cs="Arial"/>
          <w:sz w:val="22"/>
          <w:szCs w:val="22"/>
          <w:lang w:val="en-US"/>
        </w:rPr>
        <w:t>current</w:t>
      </w:r>
      <w:r w:rsidR="00FA1114">
        <w:rPr>
          <w:rFonts w:ascii="Arial" w:eastAsia="Cambria" w:hAnsi="Arial" w:cs="Arial"/>
          <w:sz w:val="22"/>
          <w:szCs w:val="22"/>
          <w:lang w:val="en-US"/>
        </w:rPr>
        <w:t xml:space="preserve"> financial limit of $500,000</w:t>
      </w:r>
      <w:r w:rsidR="009520BF">
        <w:rPr>
          <w:rFonts w:ascii="Arial" w:eastAsia="Cambria" w:hAnsi="Arial" w:cs="Arial"/>
          <w:sz w:val="22"/>
          <w:szCs w:val="22"/>
          <w:lang w:val="en-US"/>
        </w:rPr>
        <w:t xml:space="preserve"> (increased from $350,000 in July 2024), and six of the seven cases involved scam losses.</w:t>
      </w:r>
    </w:p>
    <w:p w14:paraId="38D4528D" w14:textId="7037D99A" w:rsidR="00F8572A" w:rsidRDefault="00512E2C" w:rsidP="00DA0438">
      <w:pPr>
        <w:snapToGrid w:val="0"/>
        <w:spacing w:after="200" w:line="276" w:lineRule="auto"/>
        <w:rPr>
          <w:rFonts w:ascii="Arial" w:eastAsia="Cambria" w:hAnsi="Arial" w:cs="Arial"/>
          <w:b/>
          <w:sz w:val="22"/>
          <w:szCs w:val="22"/>
          <w:lang w:val="en-US"/>
        </w:rPr>
      </w:pPr>
      <w:r>
        <w:rPr>
          <w:rFonts w:ascii="Arial" w:eastAsia="Cambria" w:hAnsi="Arial" w:cs="Arial"/>
          <w:b/>
          <w:sz w:val="22"/>
          <w:szCs w:val="22"/>
          <w:lang w:val="en-US"/>
        </w:rPr>
        <w:t>Background</w:t>
      </w:r>
    </w:p>
    <w:p w14:paraId="1012BB0A" w14:textId="3B2C442F" w:rsidR="00F8572A" w:rsidRPr="00375E10" w:rsidRDefault="00C00745" w:rsidP="00FF1196">
      <w:pPr>
        <w:snapToGrid w:val="0"/>
        <w:spacing w:after="200" w:line="276" w:lineRule="auto"/>
        <w:rPr>
          <w:rFonts w:ascii="Arial" w:eastAsia="Cambria" w:hAnsi="Arial" w:cs="Arial"/>
          <w:sz w:val="22"/>
          <w:szCs w:val="22"/>
        </w:rPr>
      </w:pPr>
      <w:r>
        <w:rPr>
          <w:rFonts w:ascii="Arial" w:eastAsia="Cambria" w:hAnsi="Arial" w:cs="Arial"/>
          <w:sz w:val="22"/>
          <w:szCs w:val="22"/>
        </w:rPr>
        <w:t xml:space="preserve">The </w:t>
      </w:r>
      <w:r w:rsidR="00F8572A" w:rsidRPr="00624907">
        <w:rPr>
          <w:rFonts w:ascii="Arial" w:eastAsia="Cambria" w:hAnsi="Arial" w:cs="Arial"/>
          <w:sz w:val="22"/>
          <w:szCs w:val="22"/>
        </w:rPr>
        <w:t>Financial Service Providers (Rules for Approved Dispute Resolution Schemes) Regulations 2024</w:t>
      </w:r>
      <w:r w:rsidR="00F8572A">
        <w:rPr>
          <w:rFonts w:ascii="Arial" w:eastAsia="Cambria" w:hAnsi="Arial" w:cs="Arial"/>
          <w:sz w:val="22"/>
          <w:szCs w:val="22"/>
        </w:rPr>
        <w:t xml:space="preserve"> </w:t>
      </w:r>
      <w:r>
        <w:rPr>
          <w:rFonts w:ascii="Arial" w:eastAsia="Cambria" w:hAnsi="Arial" w:cs="Arial"/>
          <w:sz w:val="22"/>
          <w:szCs w:val="22"/>
        </w:rPr>
        <w:t>came into effect on 18 July 2024</w:t>
      </w:r>
      <w:r w:rsidR="00F8572A">
        <w:rPr>
          <w:rFonts w:ascii="Arial" w:eastAsia="Cambria" w:hAnsi="Arial" w:cs="Arial"/>
          <w:sz w:val="22"/>
          <w:szCs w:val="22"/>
        </w:rPr>
        <w:t xml:space="preserve">. </w:t>
      </w:r>
      <w:r>
        <w:rPr>
          <w:rFonts w:ascii="Arial" w:eastAsia="Cambria" w:hAnsi="Arial" w:cs="Arial"/>
          <w:sz w:val="22"/>
          <w:szCs w:val="22"/>
        </w:rPr>
        <w:t xml:space="preserve">The </w:t>
      </w:r>
      <w:r w:rsidR="00F8572A">
        <w:rPr>
          <w:rFonts w:ascii="Arial" w:eastAsia="Cambria" w:hAnsi="Arial" w:cs="Arial"/>
          <w:sz w:val="22"/>
          <w:szCs w:val="22"/>
        </w:rPr>
        <w:t xml:space="preserve">Regulations provide that schemes may only require members to pay a person up </w:t>
      </w:r>
      <w:r w:rsidR="00F8572A" w:rsidRPr="00FF1196">
        <w:rPr>
          <w:rFonts w:ascii="Arial" w:eastAsia="Cambria" w:hAnsi="Arial" w:cs="Arial"/>
          <w:sz w:val="22"/>
          <w:szCs w:val="22"/>
        </w:rPr>
        <w:t>to $500,000</w:t>
      </w:r>
      <w:r w:rsidR="00375E10" w:rsidRPr="00FF1196">
        <w:rPr>
          <w:rFonts w:ascii="Arial" w:eastAsia="Cambria" w:hAnsi="Arial" w:cs="Arial"/>
          <w:sz w:val="22"/>
          <w:szCs w:val="22"/>
        </w:rPr>
        <w:t xml:space="preserve"> – or an amount that the complain</w:t>
      </w:r>
      <w:r w:rsidR="00780DF9">
        <w:rPr>
          <w:rFonts w:ascii="Arial" w:eastAsia="Cambria" w:hAnsi="Arial" w:cs="Arial"/>
          <w:sz w:val="22"/>
          <w:szCs w:val="22"/>
        </w:rPr>
        <w:t>an</w:t>
      </w:r>
      <w:r w:rsidR="00375E10" w:rsidRPr="00FF1196">
        <w:rPr>
          <w:rFonts w:ascii="Arial" w:eastAsia="Cambria" w:hAnsi="Arial" w:cs="Arial"/>
          <w:sz w:val="22"/>
          <w:szCs w:val="22"/>
        </w:rPr>
        <w:t>t and the member agree in writing is to apply in relation to the complaint.</w:t>
      </w:r>
    </w:p>
    <w:p w14:paraId="1AD20E21" w14:textId="446FCCDB" w:rsidR="00FE0950" w:rsidRPr="00D26BA5" w:rsidRDefault="00FE0950" w:rsidP="00DA0438">
      <w:pPr>
        <w:snapToGrid w:val="0"/>
        <w:spacing w:after="200" w:line="276" w:lineRule="auto"/>
        <w:rPr>
          <w:rFonts w:ascii="Arial" w:eastAsia="Cambria" w:hAnsi="Arial" w:cs="Arial"/>
          <w:b/>
          <w:sz w:val="22"/>
          <w:szCs w:val="22"/>
          <w:lang w:val="en-US"/>
        </w:rPr>
      </w:pPr>
      <w:r w:rsidRPr="00D26BA5">
        <w:rPr>
          <w:rFonts w:ascii="Arial" w:eastAsia="Cambria" w:hAnsi="Arial" w:cs="Arial"/>
          <w:b/>
          <w:sz w:val="22"/>
          <w:szCs w:val="22"/>
          <w:lang w:val="en-US"/>
        </w:rPr>
        <w:t>Comparable schemes</w:t>
      </w:r>
    </w:p>
    <w:p w14:paraId="5427C1B4" w14:textId="012AE357" w:rsidR="00375E10" w:rsidRPr="00FF1196" w:rsidRDefault="00FE0950" w:rsidP="00DA0438">
      <w:pPr>
        <w:snapToGrid w:val="0"/>
        <w:spacing w:after="200" w:line="276" w:lineRule="auto"/>
        <w:jc w:val="both"/>
        <w:rPr>
          <w:rFonts w:ascii="Arial" w:eastAsia="Cambria" w:hAnsi="Arial" w:cs="Arial"/>
          <w:sz w:val="22"/>
          <w:szCs w:val="22"/>
        </w:rPr>
      </w:pPr>
      <w:r w:rsidRPr="00FF1196">
        <w:rPr>
          <w:rFonts w:ascii="Arial" w:eastAsia="Cambria" w:hAnsi="Arial" w:cs="Arial"/>
          <w:sz w:val="22"/>
          <w:szCs w:val="22"/>
        </w:rPr>
        <w:t xml:space="preserve">In New Zealand, </w:t>
      </w:r>
      <w:r w:rsidR="00D9581C" w:rsidRPr="00FF1196">
        <w:rPr>
          <w:rFonts w:ascii="Arial" w:eastAsia="Cambria" w:hAnsi="Arial" w:cs="Arial"/>
          <w:sz w:val="22"/>
          <w:szCs w:val="22"/>
        </w:rPr>
        <w:t xml:space="preserve">all approved </w:t>
      </w:r>
      <w:r w:rsidR="0009087C">
        <w:rPr>
          <w:rFonts w:ascii="Arial" w:eastAsia="Cambria" w:hAnsi="Arial" w:cs="Arial"/>
          <w:sz w:val="22"/>
          <w:szCs w:val="22"/>
        </w:rPr>
        <w:t xml:space="preserve">financial </w:t>
      </w:r>
      <w:r w:rsidR="00D9581C" w:rsidRPr="00FF1196">
        <w:rPr>
          <w:rFonts w:ascii="Arial" w:eastAsia="Cambria" w:hAnsi="Arial" w:cs="Arial"/>
          <w:sz w:val="22"/>
          <w:szCs w:val="22"/>
        </w:rPr>
        <w:t>dispute resolution schemes have the same $</w:t>
      </w:r>
      <w:r w:rsidR="00D260BA" w:rsidRPr="00FF1196">
        <w:rPr>
          <w:rFonts w:ascii="Arial" w:eastAsia="Cambria" w:hAnsi="Arial" w:cs="Arial"/>
          <w:sz w:val="22"/>
          <w:szCs w:val="22"/>
        </w:rPr>
        <w:t>5</w:t>
      </w:r>
      <w:r w:rsidR="00D9581C" w:rsidRPr="00FF1196">
        <w:rPr>
          <w:rFonts w:ascii="Arial" w:eastAsia="Cambria" w:hAnsi="Arial" w:cs="Arial"/>
          <w:sz w:val="22"/>
          <w:szCs w:val="22"/>
        </w:rPr>
        <w:t>00,000</w:t>
      </w:r>
      <w:r w:rsidR="00375E10" w:rsidRPr="00FF1196">
        <w:rPr>
          <w:rFonts w:ascii="Arial" w:eastAsia="Cambria" w:hAnsi="Arial" w:cs="Arial"/>
          <w:sz w:val="22"/>
          <w:szCs w:val="22"/>
        </w:rPr>
        <w:t xml:space="preserve"> lump sum </w:t>
      </w:r>
      <w:r w:rsidR="00514333" w:rsidRPr="00FF1196">
        <w:rPr>
          <w:rFonts w:ascii="Arial" w:eastAsia="Cambria" w:hAnsi="Arial" w:cs="Arial"/>
          <w:sz w:val="22"/>
          <w:szCs w:val="22"/>
        </w:rPr>
        <w:t>compensation</w:t>
      </w:r>
      <w:r w:rsidR="00375E10" w:rsidRPr="00FF1196">
        <w:rPr>
          <w:rFonts w:ascii="Arial" w:eastAsia="Cambria" w:hAnsi="Arial" w:cs="Arial"/>
          <w:sz w:val="22"/>
          <w:szCs w:val="22"/>
        </w:rPr>
        <w:t xml:space="preserve"> limit</w:t>
      </w:r>
      <w:r w:rsidR="00E062FC" w:rsidRPr="00FF1196">
        <w:rPr>
          <w:rFonts w:ascii="Arial" w:eastAsia="Cambria" w:hAnsi="Arial" w:cs="Arial"/>
          <w:sz w:val="22"/>
          <w:szCs w:val="22"/>
        </w:rPr>
        <w:t>.</w:t>
      </w:r>
      <w:r w:rsidR="00375E10" w:rsidRPr="00FF1196">
        <w:rPr>
          <w:rFonts w:ascii="Arial" w:eastAsia="Cambria" w:hAnsi="Arial" w:cs="Arial"/>
          <w:sz w:val="22"/>
          <w:szCs w:val="22"/>
        </w:rPr>
        <w:t xml:space="preserve"> </w:t>
      </w:r>
      <w:r w:rsidR="0009087C">
        <w:rPr>
          <w:rFonts w:ascii="Arial" w:eastAsia="Cambria" w:hAnsi="Arial" w:cs="Arial"/>
          <w:sz w:val="22"/>
          <w:szCs w:val="22"/>
        </w:rPr>
        <w:t xml:space="preserve">However, the Disputes Tribunal, </w:t>
      </w:r>
      <w:r w:rsidR="00514333" w:rsidRPr="00FF1196">
        <w:rPr>
          <w:rFonts w:ascii="Arial" w:eastAsia="Cambria" w:hAnsi="Arial" w:cs="Arial"/>
          <w:sz w:val="22"/>
          <w:szCs w:val="22"/>
        </w:rPr>
        <w:t>Financial Dispute Resolution Service (FDRS)</w:t>
      </w:r>
      <w:r w:rsidR="00D80D0A">
        <w:rPr>
          <w:rFonts w:ascii="Arial" w:eastAsia="Cambria" w:hAnsi="Arial" w:cs="Arial"/>
          <w:sz w:val="22"/>
          <w:szCs w:val="22"/>
        </w:rPr>
        <w:t xml:space="preserve"> </w:t>
      </w:r>
      <w:r w:rsidR="0009087C">
        <w:rPr>
          <w:rFonts w:ascii="Arial" w:eastAsia="Cambria" w:hAnsi="Arial" w:cs="Arial"/>
          <w:sz w:val="22"/>
          <w:szCs w:val="22"/>
        </w:rPr>
        <w:t xml:space="preserve">and FOS UK allows claims of any amount, but limit how much compensation can be awarded.  </w:t>
      </w:r>
      <w:r w:rsidR="00514333" w:rsidRPr="00FF1196">
        <w:rPr>
          <w:rFonts w:ascii="Arial" w:eastAsia="Cambria" w:hAnsi="Arial" w:cs="Arial"/>
          <w:sz w:val="22"/>
          <w:szCs w:val="22"/>
        </w:rPr>
        <w:t xml:space="preserve"> </w:t>
      </w:r>
    </w:p>
    <w:p w14:paraId="440CA246" w14:textId="77777777" w:rsidR="00FE0950" w:rsidRPr="004F1533" w:rsidRDefault="00FE0950" w:rsidP="00DA0438">
      <w:pPr>
        <w:snapToGrid w:val="0"/>
        <w:spacing w:after="200" w:line="276" w:lineRule="auto"/>
        <w:rPr>
          <w:rFonts w:ascii="Arial" w:hAnsi="Arial" w:cs="Arial"/>
          <w:b/>
          <w:sz w:val="22"/>
          <w:szCs w:val="22"/>
          <w:lang w:eastAsia="en-NZ"/>
        </w:rPr>
      </w:pPr>
      <w:r w:rsidRPr="004F1533">
        <w:rPr>
          <w:rFonts w:ascii="Arial" w:hAnsi="Arial" w:cs="Arial"/>
          <w:b/>
          <w:sz w:val="22"/>
          <w:szCs w:val="22"/>
          <w:lang w:eastAsia="en-NZ"/>
        </w:rPr>
        <w:t xml:space="preserve">Options </w:t>
      </w:r>
    </w:p>
    <w:p w14:paraId="31758ECF" w14:textId="77777777" w:rsidR="009204E7" w:rsidRDefault="00FE0950" w:rsidP="00FE6E01">
      <w:pPr>
        <w:snapToGrid w:val="0"/>
        <w:spacing w:after="200" w:line="276" w:lineRule="auto"/>
        <w:jc w:val="both"/>
        <w:rPr>
          <w:rFonts w:ascii="Arial" w:eastAsia="Cambria" w:hAnsi="Arial" w:cs="Arial"/>
          <w:sz w:val="22"/>
          <w:szCs w:val="22"/>
          <w:lang w:val="en-US"/>
        </w:rPr>
      </w:pPr>
      <w:r w:rsidRPr="004F1533">
        <w:rPr>
          <w:rFonts w:ascii="Arial" w:eastAsia="Cambria" w:hAnsi="Arial" w:cs="Arial"/>
          <w:i/>
          <w:sz w:val="22"/>
          <w:szCs w:val="22"/>
          <w:lang w:val="en-US"/>
        </w:rPr>
        <w:t>One:</w:t>
      </w:r>
      <w:r w:rsidRPr="004F1533">
        <w:rPr>
          <w:rFonts w:ascii="Arial" w:eastAsia="Cambria" w:hAnsi="Arial" w:cs="Arial"/>
          <w:sz w:val="22"/>
          <w:szCs w:val="22"/>
          <w:lang w:val="en-US"/>
        </w:rPr>
        <w:t xml:space="preserve"> </w:t>
      </w:r>
      <w:r w:rsidR="003021C7" w:rsidRPr="004F1533">
        <w:rPr>
          <w:rFonts w:ascii="Arial" w:eastAsia="Cambria" w:hAnsi="Arial" w:cs="Arial"/>
          <w:sz w:val="22"/>
          <w:szCs w:val="22"/>
          <w:lang w:val="en-US"/>
        </w:rPr>
        <w:t>K</w:t>
      </w:r>
      <w:r w:rsidRPr="004F1533">
        <w:rPr>
          <w:rFonts w:ascii="Arial" w:eastAsia="Cambria" w:hAnsi="Arial" w:cs="Arial"/>
          <w:sz w:val="22"/>
          <w:szCs w:val="22"/>
          <w:lang w:val="en-US"/>
        </w:rPr>
        <w:t xml:space="preserve">eep the </w:t>
      </w:r>
      <w:r w:rsidR="00C707F5" w:rsidRPr="004F1533">
        <w:rPr>
          <w:rFonts w:ascii="Arial" w:eastAsia="Cambria" w:hAnsi="Arial" w:cs="Arial"/>
          <w:sz w:val="22"/>
          <w:szCs w:val="22"/>
          <w:lang w:val="en-US"/>
        </w:rPr>
        <w:t>compensation</w:t>
      </w:r>
      <w:r w:rsidRPr="004F1533">
        <w:rPr>
          <w:rFonts w:ascii="Arial" w:eastAsia="Cambria" w:hAnsi="Arial" w:cs="Arial"/>
          <w:sz w:val="22"/>
          <w:szCs w:val="22"/>
          <w:lang w:val="en-US"/>
        </w:rPr>
        <w:t xml:space="preserve"> limit at $</w:t>
      </w:r>
      <w:r w:rsidR="000E635B" w:rsidRPr="004F1533">
        <w:rPr>
          <w:rFonts w:ascii="Arial" w:eastAsia="Cambria" w:hAnsi="Arial" w:cs="Arial"/>
          <w:sz w:val="22"/>
          <w:szCs w:val="22"/>
          <w:lang w:val="en-US"/>
        </w:rPr>
        <w:t>5</w:t>
      </w:r>
      <w:r w:rsidRPr="004F1533">
        <w:rPr>
          <w:rFonts w:ascii="Arial" w:eastAsia="Cambria" w:hAnsi="Arial" w:cs="Arial"/>
          <w:sz w:val="22"/>
          <w:szCs w:val="22"/>
          <w:lang w:val="en-US"/>
        </w:rPr>
        <w:t xml:space="preserve">00,000 and allow larger claims </w:t>
      </w:r>
      <w:r w:rsidR="003021C7" w:rsidRPr="004F1533">
        <w:rPr>
          <w:rFonts w:ascii="Arial" w:eastAsia="Cambria" w:hAnsi="Arial" w:cs="Arial"/>
          <w:sz w:val="22"/>
          <w:szCs w:val="22"/>
          <w:lang w:val="en-US"/>
        </w:rPr>
        <w:t>where both sides agree.</w:t>
      </w:r>
    </w:p>
    <w:p w14:paraId="597E9868" w14:textId="0785C224" w:rsidR="00F4180B" w:rsidRPr="009204E7" w:rsidRDefault="000E635B" w:rsidP="00FE6E01">
      <w:pPr>
        <w:snapToGrid w:val="0"/>
        <w:spacing w:after="200" w:line="276" w:lineRule="auto"/>
        <w:jc w:val="both"/>
        <w:rPr>
          <w:rFonts w:ascii="Arial" w:eastAsia="Cambria" w:hAnsi="Arial" w:cs="Arial"/>
          <w:sz w:val="22"/>
          <w:szCs w:val="22"/>
          <w:lang w:val="en-US"/>
        </w:rPr>
      </w:pPr>
      <w:r w:rsidRPr="004F1533">
        <w:rPr>
          <w:rFonts w:ascii="Arial" w:eastAsia="Cambria" w:hAnsi="Arial" w:cs="Arial"/>
          <w:i/>
          <w:sz w:val="22"/>
          <w:szCs w:val="22"/>
          <w:lang w:val="en-US"/>
        </w:rPr>
        <w:t>Two</w:t>
      </w:r>
      <w:r w:rsidR="004369F8" w:rsidRPr="004F1533">
        <w:rPr>
          <w:rFonts w:ascii="Arial" w:eastAsia="Cambria" w:hAnsi="Arial" w:cs="Arial"/>
          <w:i/>
          <w:sz w:val="22"/>
          <w:szCs w:val="22"/>
          <w:lang w:val="en-US"/>
        </w:rPr>
        <w:t>:</w:t>
      </w:r>
      <w:r w:rsidR="004369F8" w:rsidRPr="004F1533">
        <w:rPr>
          <w:rFonts w:ascii="Arial" w:eastAsia="Cambria" w:hAnsi="Arial" w:cs="Arial"/>
          <w:sz w:val="22"/>
          <w:szCs w:val="22"/>
          <w:lang w:val="en-US"/>
        </w:rPr>
        <w:t xml:space="preserve"> </w:t>
      </w:r>
      <w:r w:rsidRPr="004F1533">
        <w:rPr>
          <w:rFonts w:ascii="Arial" w:eastAsia="Cambria" w:hAnsi="Arial" w:cs="Arial"/>
          <w:sz w:val="22"/>
          <w:szCs w:val="22"/>
          <w:lang w:val="en-US"/>
        </w:rPr>
        <w:t>Keep the compensation limit at $500,000</w:t>
      </w:r>
      <w:r w:rsidR="00C707F5" w:rsidRPr="004F1533">
        <w:rPr>
          <w:rFonts w:ascii="Arial" w:eastAsia="Cambria" w:hAnsi="Arial" w:cs="Arial"/>
          <w:sz w:val="22"/>
          <w:szCs w:val="22"/>
          <w:lang w:val="en-US"/>
        </w:rPr>
        <w:t xml:space="preserve"> </w:t>
      </w:r>
      <w:r w:rsidR="00D80D0A">
        <w:rPr>
          <w:rFonts w:ascii="Arial" w:eastAsia="Cambria" w:hAnsi="Arial" w:cs="Arial"/>
          <w:sz w:val="22"/>
          <w:szCs w:val="22"/>
          <w:lang w:val="en-US"/>
        </w:rPr>
        <w:t>and</w:t>
      </w:r>
      <w:r w:rsidRPr="004F1533">
        <w:rPr>
          <w:rFonts w:ascii="Arial" w:eastAsia="Cambria" w:hAnsi="Arial" w:cs="Arial"/>
          <w:sz w:val="22"/>
          <w:szCs w:val="22"/>
          <w:lang w:val="en-US"/>
        </w:rPr>
        <w:t xml:space="preserve"> allow larger claims if the complainant agrees to </w:t>
      </w:r>
      <w:r w:rsidR="001751F6">
        <w:rPr>
          <w:rFonts w:ascii="Arial" w:eastAsia="Cambria" w:hAnsi="Arial" w:cs="Arial"/>
          <w:sz w:val="22"/>
          <w:szCs w:val="22"/>
          <w:lang w:val="en-US"/>
        </w:rPr>
        <w:t>limit their claim to the maximum</w:t>
      </w:r>
      <w:r w:rsidR="00D80D0A">
        <w:rPr>
          <w:rFonts w:ascii="Arial" w:eastAsia="Cambria" w:hAnsi="Arial" w:cs="Arial"/>
          <w:sz w:val="22"/>
          <w:szCs w:val="22"/>
          <w:lang w:val="en-US"/>
        </w:rPr>
        <w:t xml:space="preserve">. </w:t>
      </w:r>
    </w:p>
    <w:tbl>
      <w:tblPr>
        <w:tblStyle w:val="TableGrid"/>
        <w:tblW w:w="0" w:type="auto"/>
        <w:tblLook w:val="04A0" w:firstRow="1" w:lastRow="0" w:firstColumn="1" w:lastColumn="0" w:noHBand="0" w:noVBand="1"/>
      </w:tblPr>
      <w:tblGrid>
        <w:gridCol w:w="9016"/>
      </w:tblGrid>
      <w:tr w:rsidR="00FE6E01" w:rsidRPr="00FE6E01" w14:paraId="2ED6A039" w14:textId="77777777" w:rsidTr="009204E7">
        <w:trPr>
          <w:trHeight w:val="1276"/>
        </w:trPr>
        <w:tc>
          <w:tcPr>
            <w:tcW w:w="9016" w:type="dxa"/>
            <w:tcBorders>
              <w:top w:val="nil"/>
              <w:left w:val="nil"/>
              <w:bottom w:val="nil"/>
              <w:right w:val="nil"/>
            </w:tcBorders>
            <w:shd w:val="clear" w:color="auto" w:fill="00ACC9"/>
            <w:vAlign w:val="bottom"/>
          </w:tcPr>
          <w:p w14:paraId="70C774BE" w14:textId="641C3831" w:rsidR="00FE6E01" w:rsidRPr="00FE6E01" w:rsidRDefault="00FE6E01" w:rsidP="00FE6E01">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lastRenderedPageBreak/>
              <w:t xml:space="preserve">Reflect that the scheme may seek expert advice </w:t>
            </w:r>
            <w:r>
              <w:rPr>
                <w:rFonts w:ascii="Arial" w:hAnsi="Arial" w:cs="Arial"/>
                <w:b/>
                <w:color w:val="FFFFFF" w:themeColor="background1"/>
                <w:sz w:val="28"/>
                <w:szCs w:val="28"/>
              </w:rPr>
              <w:br/>
            </w:r>
            <w:r w:rsidRPr="00FE6E01">
              <w:rPr>
                <w:rFonts w:ascii="Arial" w:hAnsi="Arial" w:cs="Arial"/>
                <w:b/>
                <w:color w:val="FFFFFF" w:themeColor="background1"/>
                <w:sz w:val="28"/>
                <w:szCs w:val="28"/>
              </w:rPr>
              <w:t xml:space="preserve">from a range of experts as it thinks fit. </w:t>
            </w:r>
          </w:p>
        </w:tc>
      </w:tr>
    </w:tbl>
    <w:p w14:paraId="78A1C31F" w14:textId="77777777" w:rsidR="00FE6E01" w:rsidRPr="00E2715D" w:rsidRDefault="00FE6E01" w:rsidP="00DA0438">
      <w:pPr>
        <w:snapToGrid w:val="0"/>
        <w:spacing w:after="200" w:line="276" w:lineRule="auto"/>
        <w:rPr>
          <w:rFonts w:ascii="Arial" w:eastAsia="Cambria" w:hAnsi="Arial"/>
          <w:b/>
          <w:bCs/>
          <w:color w:val="00B0F0"/>
          <w:sz w:val="22"/>
          <w:szCs w:val="22"/>
        </w:rPr>
      </w:pPr>
    </w:p>
    <w:p w14:paraId="24252805" w14:textId="7B0A5BAB" w:rsidR="00DA0438" w:rsidRDefault="00DA0438" w:rsidP="00DA0438">
      <w:pPr>
        <w:snapToGrid w:val="0"/>
        <w:spacing w:after="200" w:line="276" w:lineRule="auto"/>
        <w:rPr>
          <w:rFonts w:ascii="Arial" w:eastAsia="Cambria" w:hAnsi="Arial" w:cs="Arial"/>
          <w:bCs/>
          <w:sz w:val="22"/>
          <w:szCs w:val="22"/>
        </w:rPr>
      </w:pPr>
      <w:r>
        <w:rPr>
          <w:rFonts w:ascii="Arial" w:eastAsia="Cambria" w:hAnsi="Arial" w:cs="Arial"/>
          <w:bCs/>
          <w:sz w:val="22"/>
          <w:szCs w:val="22"/>
        </w:rPr>
        <w:t>Recommendation 7 proposes that the scheme amend its rules and operational gui</w:t>
      </w:r>
      <w:r w:rsidR="00C707F5">
        <w:rPr>
          <w:rFonts w:ascii="Arial" w:eastAsia="Cambria" w:hAnsi="Arial" w:cs="Arial"/>
          <w:bCs/>
          <w:sz w:val="22"/>
          <w:szCs w:val="22"/>
        </w:rPr>
        <w:t>delines</w:t>
      </w:r>
      <w:r>
        <w:rPr>
          <w:rFonts w:ascii="Arial" w:eastAsia="Cambria" w:hAnsi="Arial" w:cs="Arial"/>
          <w:bCs/>
          <w:sz w:val="22"/>
          <w:szCs w:val="22"/>
        </w:rPr>
        <w:t xml:space="preserve"> to reflect that </w:t>
      </w:r>
      <w:r w:rsidR="0030085F">
        <w:rPr>
          <w:rFonts w:ascii="Arial" w:eastAsia="Cambria" w:hAnsi="Arial" w:cs="Arial"/>
          <w:bCs/>
          <w:sz w:val="22"/>
          <w:szCs w:val="22"/>
        </w:rPr>
        <w:t>it</w:t>
      </w:r>
      <w:r>
        <w:rPr>
          <w:rFonts w:ascii="Arial" w:eastAsia="Cambria" w:hAnsi="Arial" w:cs="Arial"/>
          <w:bCs/>
          <w:sz w:val="22"/>
          <w:szCs w:val="22"/>
        </w:rPr>
        <w:t xml:space="preserve"> may seek expert advice from </w:t>
      </w:r>
      <w:r w:rsidR="00C707F5">
        <w:rPr>
          <w:rFonts w:ascii="Arial" w:eastAsia="Cambria" w:hAnsi="Arial" w:cs="Arial"/>
          <w:bCs/>
          <w:sz w:val="22"/>
          <w:szCs w:val="22"/>
        </w:rPr>
        <w:t xml:space="preserve">a </w:t>
      </w:r>
      <w:r>
        <w:rPr>
          <w:rFonts w:ascii="Arial" w:eastAsia="Cambria" w:hAnsi="Arial" w:cs="Arial"/>
          <w:bCs/>
          <w:sz w:val="22"/>
          <w:szCs w:val="22"/>
        </w:rPr>
        <w:t>range of experts as it thinks fit.</w:t>
      </w:r>
    </w:p>
    <w:p w14:paraId="7915D63C" w14:textId="7B1A92F9" w:rsidR="00B130A8" w:rsidRDefault="00B130A8" w:rsidP="00B130A8">
      <w:pPr>
        <w:snapToGrid w:val="0"/>
        <w:spacing w:after="200" w:line="276" w:lineRule="auto"/>
        <w:rPr>
          <w:rFonts w:ascii="Arial" w:eastAsia="Cambria" w:hAnsi="Arial" w:cs="Arial"/>
          <w:bCs/>
          <w:sz w:val="22"/>
          <w:szCs w:val="22"/>
        </w:rPr>
      </w:pPr>
      <w:r>
        <w:rPr>
          <w:rFonts w:ascii="Arial" w:eastAsia="Cambria" w:hAnsi="Arial" w:cs="Arial"/>
          <w:bCs/>
          <w:sz w:val="22"/>
          <w:szCs w:val="22"/>
        </w:rPr>
        <w:t xml:space="preserve">The scheme’s rules require the scheme to consult with the industry to determine principles of good banking practice.  The scheme’s operational guidelines provide that it may seek the industry’s view on what is good practice, which can take the form of an industry survey or expert advice. </w:t>
      </w:r>
    </w:p>
    <w:p w14:paraId="73DAD8EC" w14:textId="53D0A8EB" w:rsidR="00F4180B" w:rsidRDefault="00581772" w:rsidP="00DA0438">
      <w:pPr>
        <w:snapToGrid w:val="0"/>
        <w:spacing w:after="200" w:line="276" w:lineRule="auto"/>
        <w:rPr>
          <w:rFonts w:ascii="Arial" w:eastAsia="Cambria" w:hAnsi="Arial" w:cs="Arial"/>
          <w:bCs/>
          <w:sz w:val="22"/>
          <w:szCs w:val="22"/>
        </w:rPr>
      </w:pPr>
      <w:r>
        <w:rPr>
          <w:rFonts w:ascii="Arial" w:eastAsia="Cambria" w:hAnsi="Arial" w:cs="Arial"/>
          <w:bCs/>
          <w:sz w:val="22"/>
          <w:szCs w:val="22"/>
        </w:rPr>
        <w:t>The reviewer</w:t>
      </w:r>
      <w:r w:rsidR="00DA0438">
        <w:rPr>
          <w:rFonts w:ascii="Arial" w:eastAsia="Cambria" w:hAnsi="Arial" w:cs="Arial"/>
          <w:bCs/>
          <w:sz w:val="22"/>
          <w:szCs w:val="22"/>
        </w:rPr>
        <w:t xml:space="preserve"> suggested the adoption of wording </w:t>
      </w:r>
      <w:proofErr w:type="gramStart"/>
      <w:r w:rsidR="00DA0438">
        <w:rPr>
          <w:rFonts w:ascii="Arial" w:eastAsia="Cambria" w:hAnsi="Arial" w:cs="Arial"/>
          <w:bCs/>
          <w:sz w:val="22"/>
          <w:szCs w:val="22"/>
        </w:rPr>
        <w:t>similar to</w:t>
      </w:r>
      <w:proofErr w:type="gramEnd"/>
      <w:r w:rsidR="00DA0438">
        <w:rPr>
          <w:rFonts w:ascii="Arial" w:eastAsia="Cambria" w:hAnsi="Arial" w:cs="Arial"/>
          <w:bCs/>
          <w:sz w:val="22"/>
          <w:szCs w:val="22"/>
        </w:rPr>
        <w:t xml:space="preserve"> that </w:t>
      </w:r>
      <w:r w:rsidR="00C707F5">
        <w:rPr>
          <w:rFonts w:ascii="Arial" w:eastAsia="Cambria" w:hAnsi="Arial" w:cs="Arial"/>
          <w:bCs/>
          <w:sz w:val="22"/>
          <w:szCs w:val="22"/>
        </w:rPr>
        <w:t xml:space="preserve">used </w:t>
      </w:r>
      <w:r w:rsidR="00DA0438">
        <w:rPr>
          <w:rFonts w:ascii="Arial" w:eastAsia="Cambria" w:hAnsi="Arial" w:cs="Arial"/>
          <w:bCs/>
          <w:sz w:val="22"/>
          <w:szCs w:val="22"/>
        </w:rPr>
        <w:t xml:space="preserve">by </w:t>
      </w:r>
      <w:r w:rsidR="00FB2484">
        <w:rPr>
          <w:rFonts w:ascii="Arial" w:eastAsia="Cambria" w:hAnsi="Arial" w:cs="Arial"/>
          <w:bCs/>
          <w:sz w:val="22"/>
          <w:szCs w:val="22"/>
        </w:rPr>
        <w:t xml:space="preserve">AFCA </w:t>
      </w:r>
      <w:r w:rsidR="00DA0438">
        <w:rPr>
          <w:rFonts w:ascii="Arial" w:eastAsia="Cambria" w:hAnsi="Arial" w:cs="Arial"/>
          <w:bCs/>
          <w:sz w:val="22"/>
          <w:szCs w:val="22"/>
        </w:rPr>
        <w:t xml:space="preserve">(see further detail below), and suggested </w:t>
      </w:r>
      <w:r w:rsidR="000B7A93">
        <w:rPr>
          <w:rFonts w:ascii="Arial" w:eastAsia="Cambria" w:hAnsi="Arial" w:cs="Arial"/>
          <w:bCs/>
          <w:sz w:val="22"/>
          <w:szCs w:val="22"/>
        </w:rPr>
        <w:t>when considering a complaint, the scheme may obtain expert advice from</w:t>
      </w:r>
      <w:r w:rsidR="00DA0438">
        <w:rPr>
          <w:rFonts w:ascii="Arial" w:eastAsia="Cambria" w:hAnsi="Arial" w:cs="Arial"/>
          <w:bCs/>
          <w:sz w:val="22"/>
          <w:szCs w:val="22"/>
        </w:rPr>
        <w:t xml:space="preserve"> academics, bankers, legal advisers, consumer advocates and international banking experts.</w:t>
      </w:r>
    </w:p>
    <w:p w14:paraId="30160021" w14:textId="71D0FE9C" w:rsidR="00B130A8" w:rsidRDefault="00B130A8" w:rsidP="00DA0438">
      <w:pPr>
        <w:snapToGrid w:val="0"/>
        <w:spacing w:after="200" w:line="276" w:lineRule="auto"/>
        <w:rPr>
          <w:rFonts w:ascii="Arial" w:eastAsia="Cambria" w:hAnsi="Arial" w:cs="Arial"/>
          <w:bCs/>
          <w:sz w:val="22"/>
          <w:szCs w:val="22"/>
        </w:rPr>
      </w:pPr>
      <w:r>
        <w:rPr>
          <w:rFonts w:ascii="Arial" w:eastAsia="Cambria" w:hAnsi="Arial" w:cs="Arial"/>
          <w:bCs/>
          <w:sz w:val="22"/>
          <w:szCs w:val="22"/>
        </w:rPr>
        <w:t xml:space="preserve">This proposed change </w:t>
      </w:r>
      <w:r w:rsidR="00874DB8">
        <w:rPr>
          <w:rFonts w:ascii="Arial" w:eastAsia="Cambria" w:hAnsi="Arial" w:cs="Arial"/>
          <w:bCs/>
          <w:sz w:val="22"/>
          <w:szCs w:val="22"/>
        </w:rPr>
        <w:t xml:space="preserve">enables </w:t>
      </w:r>
      <w:r>
        <w:rPr>
          <w:rFonts w:ascii="Arial" w:eastAsia="Cambria" w:hAnsi="Arial" w:cs="Arial"/>
          <w:bCs/>
          <w:sz w:val="22"/>
          <w:szCs w:val="22"/>
        </w:rPr>
        <w:t>the scheme</w:t>
      </w:r>
      <w:r w:rsidR="00874DB8">
        <w:rPr>
          <w:rFonts w:ascii="Arial" w:eastAsia="Cambria" w:hAnsi="Arial" w:cs="Arial"/>
          <w:bCs/>
          <w:sz w:val="22"/>
          <w:szCs w:val="22"/>
        </w:rPr>
        <w:t xml:space="preserve"> </w:t>
      </w:r>
      <w:r>
        <w:rPr>
          <w:rFonts w:ascii="Arial" w:eastAsia="Cambria" w:hAnsi="Arial" w:cs="Arial"/>
          <w:bCs/>
          <w:sz w:val="22"/>
          <w:szCs w:val="22"/>
        </w:rPr>
        <w:t xml:space="preserve">to obtain expert advice from a wide range of experts as it sees fit, including advice from the industry in relation to good banking practice.   </w:t>
      </w:r>
    </w:p>
    <w:p w14:paraId="774B4C77" w14:textId="44405A73" w:rsidR="00FE0950" w:rsidRPr="00D26BA5" w:rsidRDefault="00FE0950" w:rsidP="00DA0438">
      <w:pPr>
        <w:snapToGrid w:val="0"/>
        <w:spacing w:after="200" w:line="276" w:lineRule="auto"/>
        <w:rPr>
          <w:rFonts w:ascii="Arial" w:eastAsia="Cambria" w:hAnsi="Arial"/>
          <w:b/>
          <w:sz w:val="22"/>
          <w:szCs w:val="22"/>
        </w:rPr>
      </w:pPr>
      <w:r w:rsidRPr="00D26BA5">
        <w:rPr>
          <w:rFonts w:ascii="Arial" w:eastAsia="Cambria" w:hAnsi="Arial"/>
          <w:b/>
          <w:sz w:val="22"/>
          <w:szCs w:val="22"/>
        </w:rPr>
        <w:t>Comparable schemes</w:t>
      </w:r>
    </w:p>
    <w:p w14:paraId="2127436E" w14:textId="67E542CC" w:rsidR="00CF01D9" w:rsidRPr="00FF1196" w:rsidRDefault="000B7A93" w:rsidP="00DA0438">
      <w:pPr>
        <w:snapToGrid w:val="0"/>
        <w:spacing w:after="200" w:line="276" w:lineRule="auto"/>
        <w:jc w:val="both"/>
        <w:rPr>
          <w:rFonts w:ascii="Arial" w:eastAsia="Cambria" w:hAnsi="Arial" w:cs="Arial"/>
          <w:sz w:val="22"/>
          <w:szCs w:val="22"/>
        </w:rPr>
      </w:pPr>
      <w:r w:rsidRPr="00FF1196">
        <w:rPr>
          <w:rFonts w:ascii="Arial" w:eastAsia="Cambria" w:hAnsi="Arial" w:cs="Arial"/>
          <w:sz w:val="22"/>
          <w:szCs w:val="22"/>
        </w:rPr>
        <w:t xml:space="preserve">Only one New Zealand financial dispute resolution scheme has provisions relating to expert advice. </w:t>
      </w:r>
      <w:r w:rsidR="00CF01D9" w:rsidRPr="00FF1196">
        <w:rPr>
          <w:rFonts w:ascii="Arial" w:eastAsia="Cambria" w:hAnsi="Arial" w:cs="Arial"/>
          <w:sz w:val="22"/>
          <w:szCs w:val="22"/>
        </w:rPr>
        <w:t>The IFSO scheme</w:t>
      </w:r>
      <w:r w:rsidRPr="00FF1196">
        <w:rPr>
          <w:rFonts w:ascii="Arial" w:eastAsia="Cambria" w:hAnsi="Arial" w:cs="Arial"/>
          <w:sz w:val="22"/>
          <w:szCs w:val="22"/>
        </w:rPr>
        <w:t>’s terms of reference say it</w:t>
      </w:r>
      <w:r w:rsidR="00CF01D9" w:rsidRPr="00FF1196">
        <w:rPr>
          <w:rFonts w:ascii="Arial" w:eastAsia="Cambria" w:hAnsi="Arial" w:cs="Arial"/>
          <w:sz w:val="22"/>
          <w:szCs w:val="22"/>
        </w:rPr>
        <w:t xml:space="preserve"> can obtain expert advice, including from a legal expert, industry expert, medical practitioner or building expert</w:t>
      </w:r>
      <w:r w:rsidR="00C23DDB" w:rsidRPr="00FF1196">
        <w:rPr>
          <w:rFonts w:ascii="Arial" w:eastAsia="Cambria" w:hAnsi="Arial" w:cs="Arial"/>
          <w:sz w:val="22"/>
          <w:szCs w:val="22"/>
        </w:rPr>
        <w:t xml:space="preserve">. </w:t>
      </w:r>
    </w:p>
    <w:p w14:paraId="7C59BD23" w14:textId="5A579B20" w:rsidR="000B7A93" w:rsidRPr="00FF1196" w:rsidRDefault="00C23DDB" w:rsidP="00DA0438">
      <w:pPr>
        <w:snapToGrid w:val="0"/>
        <w:spacing w:after="200" w:line="276" w:lineRule="auto"/>
        <w:jc w:val="both"/>
        <w:rPr>
          <w:rFonts w:ascii="Arial" w:eastAsia="Cambria" w:hAnsi="Arial" w:cs="Arial"/>
          <w:sz w:val="22"/>
          <w:szCs w:val="22"/>
        </w:rPr>
      </w:pPr>
      <w:r w:rsidRPr="00FF1196">
        <w:rPr>
          <w:rFonts w:ascii="Arial" w:eastAsia="Cambria" w:hAnsi="Arial" w:cs="Arial"/>
          <w:sz w:val="22"/>
          <w:szCs w:val="22"/>
        </w:rPr>
        <w:t xml:space="preserve">FOS UK </w:t>
      </w:r>
      <w:r w:rsidR="0030085F" w:rsidRPr="00FF1196">
        <w:rPr>
          <w:rFonts w:ascii="Arial" w:eastAsia="Cambria" w:hAnsi="Arial" w:cs="Arial"/>
          <w:sz w:val="22"/>
          <w:szCs w:val="22"/>
        </w:rPr>
        <w:t>can</w:t>
      </w:r>
      <w:r w:rsidRPr="00FF1196">
        <w:rPr>
          <w:rFonts w:ascii="Arial" w:eastAsia="Cambria" w:hAnsi="Arial" w:cs="Arial"/>
          <w:sz w:val="22"/>
          <w:szCs w:val="22"/>
        </w:rPr>
        <w:t xml:space="preserve"> </w:t>
      </w:r>
      <w:proofErr w:type="gramStart"/>
      <w:r w:rsidRPr="00FF1196">
        <w:rPr>
          <w:rFonts w:ascii="Arial" w:eastAsia="Cambria" w:hAnsi="Arial" w:cs="Arial"/>
          <w:sz w:val="22"/>
          <w:szCs w:val="22"/>
        </w:rPr>
        <w:t>take into account</w:t>
      </w:r>
      <w:proofErr w:type="gramEnd"/>
      <w:r w:rsidRPr="00FF1196">
        <w:rPr>
          <w:rFonts w:ascii="Arial" w:eastAsia="Cambria" w:hAnsi="Arial" w:cs="Arial"/>
          <w:sz w:val="22"/>
          <w:szCs w:val="22"/>
        </w:rPr>
        <w:t xml:space="preserve"> evidence from third parties, including the Financial Conducts Authority, other regulators, experts in industry matter and experts in consumer matter.</w:t>
      </w:r>
      <w:r w:rsidR="00B1411F" w:rsidRPr="00FF1196">
        <w:rPr>
          <w:rFonts w:ascii="Arial" w:eastAsia="Cambria" w:hAnsi="Arial" w:cs="Arial"/>
          <w:sz w:val="22"/>
          <w:szCs w:val="22"/>
        </w:rPr>
        <w:t xml:space="preserve"> </w:t>
      </w:r>
    </w:p>
    <w:p w14:paraId="19B9E8AB" w14:textId="77777777" w:rsidR="000B7A93" w:rsidRPr="00FF1196" w:rsidRDefault="000B7A93" w:rsidP="000B7A93">
      <w:pPr>
        <w:snapToGrid w:val="0"/>
        <w:spacing w:after="200" w:line="276" w:lineRule="auto"/>
        <w:rPr>
          <w:rFonts w:ascii="Arial" w:eastAsia="Cambria" w:hAnsi="Arial" w:cs="Arial"/>
          <w:bCs/>
          <w:sz w:val="22"/>
          <w:szCs w:val="22"/>
        </w:rPr>
      </w:pPr>
      <w:r w:rsidRPr="00FF1196">
        <w:rPr>
          <w:rFonts w:ascii="Arial" w:eastAsia="Cambria" w:hAnsi="Arial" w:cs="Arial"/>
          <w:bCs/>
          <w:sz w:val="22"/>
          <w:szCs w:val="22"/>
        </w:rPr>
        <w:t>The AFCA rule states:</w:t>
      </w:r>
    </w:p>
    <w:p w14:paraId="0C1FB2D4" w14:textId="0D52022C" w:rsidR="000B7A93" w:rsidRDefault="000B7A93" w:rsidP="00BB10AE">
      <w:pPr>
        <w:snapToGrid w:val="0"/>
        <w:spacing w:after="200" w:line="276" w:lineRule="auto"/>
        <w:ind w:left="720"/>
        <w:rPr>
          <w:rFonts w:ascii="Arial" w:eastAsia="Cambria" w:hAnsi="Arial" w:cs="Arial"/>
          <w:bCs/>
          <w:sz w:val="20"/>
          <w:szCs w:val="20"/>
        </w:rPr>
      </w:pPr>
      <w:r w:rsidRPr="00BB10AE">
        <w:rPr>
          <w:rFonts w:ascii="Arial" w:eastAsia="Cambria" w:hAnsi="Arial" w:cs="Arial"/>
          <w:bCs/>
          <w:sz w:val="20"/>
          <w:szCs w:val="20"/>
        </w:rPr>
        <w:t>“When considering a complaint, AFCA may consult with industry and consumer advisors as AFCA thinks fit.</w:t>
      </w:r>
      <w:r w:rsidR="003C41DD">
        <w:rPr>
          <w:rFonts w:ascii="Arial" w:eastAsia="Cambria" w:hAnsi="Arial" w:cs="Arial"/>
          <w:bCs/>
          <w:sz w:val="20"/>
          <w:szCs w:val="20"/>
        </w:rPr>
        <w:t>”</w:t>
      </w:r>
    </w:p>
    <w:p w14:paraId="743B3AA6" w14:textId="4C499832" w:rsidR="003C41DD" w:rsidRPr="003C41DD" w:rsidRDefault="003C41DD" w:rsidP="003C41DD">
      <w:pPr>
        <w:snapToGrid w:val="0"/>
        <w:spacing w:after="200" w:line="276" w:lineRule="auto"/>
        <w:ind w:left="720"/>
        <w:rPr>
          <w:rFonts w:ascii="Arial" w:eastAsia="Cambria" w:hAnsi="Arial" w:cs="Arial"/>
          <w:bCs/>
          <w:sz w:val="20"/>
          <w:szCs w:val="20"/>
        </w:rPr>
      </w:pPr>
      <w:r>
        <w:rPr>
          <w:rFonts w:ascii="Arial" w:eastAsia="Cambria" w:hAnsi="Arial" w:cs="Arial"/>
          <w:bCs/>
          <w:sz w:val="20"/>
          <w:szCs w:val="20"/>
        </w:rPr>
        <w:t>“</w:t>
      </w:r>
      <w:r w:rsidRPr="003C41DD">
        <w:rPr>
          <w:rFonts w:ascii="Arial" w:eastAsia="Cambria" w:hAnsi="Arial" w:cs="Arial"/>
          <w:bCs/>
          <w:sz w:val="20"/>
          <w:szCs w:val="20"/>
        </w:rPr>
        <w:t xml:space="preserve">AFCA may also seek expert advice </w:t>
      </w:r>
      <w:r w:rsidRPr="003C41DD">
        <w:rPr>
          <w:rStyle w:val="cf01"/>
          <w:rFonts w:ascii="Arial" w:hAnsi="Arial" w:cs="Arial"/>
          <w:sz w:val="20"/>
          <w:szCs w:val="20"/>
        </w:rPr>
        <w:t>including from an AFCA-appointed legal expert, industry expert, medical practitioner, building or other relevant expert</w:t>
      </w:r>
      <w:r>
        <w:rPr>
          <w:rStyle w:val="cf01"/>
          <w:rFonts w:ascii="Arial" w:hAnsi="Arial" w:cs="Arial"/>
          <w:sz w:val="20"/>
          <w:szCs w:val="20"/>
        </w:rPr>
        <w:t>.”</w:t>
      </w:r>
    </w:p>
    <w:p w14:paraId="371C262A" w14:textId="77777777" w:rsidR="000B7A93" w:rsidRPr="00FF1196" w:rsidRDefault="000B7A93" w:rsidP="000B7A93">
      <w:pPr>
        <w:snapToGrid w:val="0"/>
        <w:spacing w:after="200" w:line="276" w:lineRule="auto"/>
        <w:rPr>
          <w:rFonts w:ascii="Arial" w:eastAsia="Cambria" w:hAnsi="Arial" w:cs="Arial"/>
          <w:bCs/>
          <w:sz w:val="22"/>
          <w:szCs w:val="22"/>
        </w:rPr>
      </w:pPr>
      <w:r w:rsidRPr="00FF1196">
        <w:rPr>
          <w:rFonts w:ascii="Arial" w:eastAsia="Cambria" w:hAnsi="Arial" w:cs="Arial"/>
          <w:bCs/>
          <w:sz w:val="22"/>
          <w:szCs w:val="22"/>
        </w:rPr>
        <w:t>The AFCA guidance states:</w:t>
      </w:r>
    </w:p>
    <w:p w14:paraId="4DF0E71C" w14:textId="77777777" w:rsidR="000B7A93" w:rsidRPr="00BB10AE" w:rsidRDefault="000B7A93" w:rsidP="00BB10AE">
      <w:pPr>
        <w:snapToGrid w:val="0"/>
        <w:spacing w:after="200" w:line="276" w:lineRule="auto"/>
        <w:ind w:left="720"/>
        <w:rPr>
          <w:rFonts w:ascii="Arial" w:eastAsia="Cambria" w:hAnsi="Arial" w:cs="Arial"/>
          <w:bCs/>
          <w:sz w:val="20"/>
          <w:szCs w:val="20"/>
        </w:rPr>
      </w:pPr>
      <w:r w:rsidRPr="00BB10AE">
        <w:rPr>
          <w:rFonts w:ascii="Arial" w:eastAsia="Cambria" w:hAnsi="Arial" w:cs="Arial"/>
          <w:bCs/>
          <w:sz w:val="20"/>
          <w:szCs w:val="20"/>
        </w:rPr>
        <w:t>“When considering good industry practice, we may draw on the expertise of AFCA staff, ombudsman, adjudicators or panel members.  On occasions, we may obtain expert advice as to what is good industry practice.”</w:t>
      </w:r>
    </w:p>
    <w:p w14:paraId="0B3A5E3C" w14:textId="77777777" w:rsidR="00FE0950" w:rsidRDefault="00FE0950" w:rsidP="00DA0438">
      <w:pPr>
        <w:snapToGrid w:val="0"/>
        <w:spacing w:after="200" w:line="276" w:lineRule="auto"/>
        <w:rPr>
          <w:rFonts w:ascii="Arial" w:eastAsia="Cambria" w:hAnsi="Arial"/>
          <w:b/>
          <w:sz w:val="22"/>
          <w:szCs w:val="22"/>
        </w:rPr>
      </w:pPr>
      <w:r w:rsidRPr="00D26BA5">
        <w:rPr>
          <w:rFonts w:ascii="Arial" w:eastAsia="Cambria" w:hAnsi="Arial"/>
          <w:b/>
          <w:sz w:val="22"/>
          <w:szCs w:val="22"/>
        </w:rPr>
        <w:t>Options</w:t>
      </w:r>
    </w:p>
    <w:p w14:paraId="371ECB95" w14:textId="53AAFEDE" w:rsidR="00FE0950" w:rsidRPr="00295CDD" w:rsidRDefault="00FE0950" w:rsidP="00DA0438">
      <w:pPr>
        <w:snapToGrid w:val="0"/>
        <w:spacing w:after="200" w:line="276" w:lineRule="auto"/>
        <w:jc w:val="both"/>
        <w:rPr>
          <w:rFonts w:ascii="Arial" w:eastAsia="Cambria" w:hAnsi="Arial"/>
          <w:sz w:val="22"/>
          <w:szCs w:val="22"/>
        </w:rPr>
      </w:pPr>
      <w:r w:rsidRPr="00D26BA5">
        <w:rPr>
          <w:rFonts w:ascii="Arial" w:eastAsia="Cambria" w:hAnsi="Arial"/>
          <w:i/>
          <w:sz w:val="22"/>
          <w:szCs w:val="22"/>
        </w:rPr>
        <w:t>One</w:t>
      </w:r>
      <w:r w:rsidRPr="00295CDD">
        <w:rPr>
          <w:rFonts w:ascii="Arial" w:eastAsia="Cambria" w:hAnsi="Arial"/>
          <w:i/>
          <w:sz w:val="22"/>
          <w:szCs w:val="22"/>
        </w:rPr>
        <w:t>:</w:t>
      </w:r>
      <w:r w:rsidRPr="00295CDD">
        <w:rPr>
          <w:rFonts w:ascii="Arial" w:eastAsia="Cambria" w:hAnsi="Arial"/>
          <w:sz w:val="22"/>
          <w:szCs w:val="22"/>
        </w:rPr>
        <w:t xml:space="preserve"> Keep </w:t>
      </w:r>
      <w:r w:rsidR="00581772" w:rsidRPr="00295CDD">
        <w:rPr>
          <w:rFonts w:ascii="Arial" w:eastAsia="Cambria" w:hAnsi="Arial"/>
          <w:sz w:val="22"/>
          <w:szCs w:val="22"/>
        </w:rPr>
        <w:t>the terms of reference and operational guidelines the same.</w:t>
      </w:r>
    </w:p>
    <w:p w14:paraId="37D61AD9" w14:textId="3DA941A9" w:rsidR="00BB10AE" w:rsidRPr="00FE6E01" w:rsidRDefault="00261194" w:rsidP="00FE6E01">
      <w:pPr>
        <w:snapToGrid w:val="0"/>
        <w:spacing w:after="200" w:line="276" w:lineRule="auto"/>
        <w:jc w:val="both"/>
        <w:rPr>
          <w:rFonts w:ascii="Arial" w:eastAsia="Cambria" w:hAnsi="Arial"/>
          <w:sz w:val="22"/>
          <w:szCs w:val="22"/>
        </w:rPr>
      </w:pPr>
      <w:r w:rsidRPr="00295CDD">
        <w:rPr>
          <w:rFonts w:ascii="Arial" w:eastAsia="Cambria" w:hAnsi="Arial"/>
          <w:i/>
          <w:iCs/>
          <w:sz w:val="22"/>
          <w:szCs w:val="22"/>
        </w:rPr>
        <w:t>Two</w:t>
      </w:r>
      <w:r w:rsidR="00FB2484" w:rsidRPr="00295CDD">
        <w:rPr>
          <w:rFonts w:ascii="Arial" w:eastAsia="Cambria" w:hAnsi="Arial"/>
          <w:i/>
          <w:iCs/>
          <w:sz w:val="22"/>
          <w:szCs w:val="22"/>
        </w:rPr>
        <w:t>:</w:t>
      </w:r>
      <w:r w:rsidR="00FB2484" w:rsidRPr="00295CDD">
        <w:rPr>
          <w:rFonts w:ascii="Arial" w:eastAsia="Cambria" w:hAnsi="Arial"/>
          <w:sz w:val="22"/>
          <w:szCs w:val="22"/>
        </w:rPr>
        <w:t xml:space="preserve"> </w:t>
      </w:r>
      <w:r w:rsidR="00BB184A" w:rsidRPr="00295CDD">
        <w:rPr>
          <w:rFonts w:ascii="Arial" w:eastAsia="Cambria" w:hAnsi="Arial"/>
          <w:sz w:val="22"/>
          <w:szCs w:val="22"/>
        </w:rPr>
        <w:t xml:space="preserve">Amend the terms of reference and operational guidelines to remove the requirement to consult with the industry and introduce a discretion for the scheme to consult with </w:t>
      </w:r>
      <w:r w:rsidR="00920F23">
        <w:rPr>
          <w:rFonts w:ascii="Arial" w:eastAsia="Cambria" w:hAnsi="Arial"/>
          <w:sz w:val="22"/>
          <w:szCs w:val="22"/>
        </w:rPr>
        <w:t>experts as it thinks appropriate.</w:t>
      </w:r>
    </w:p>
    <w:tbl>
      <w:tblPr>
        <w:tblStyle w:val="TableGrid"/>
        <w:tblW w:w="0" w:type="auto"/>
        <w:tblLook w:val="04A0" w:firstRow="1" w:lastRow="0" w:firstColumn="1" w:lastColumn="0" w:noHBand="0" w:noVBand="1"/>
      </w:tblPr>
      <w:tblGrid>
        <w:gridCol w:w="9016"/>
      </w:tblGrid>
      <w:tr w:rsidR="00FE6E01" w:rsidRPr="00FE6E01" w14:paraId="4AF42E3C" w14:textId="77777777" w:rsidTr="009204E7">
        <w:trPr>
          <w:trHeight w:val="1134"/>
        </w:trPr>
        <w:tc>
          <w:tcPr>
            <w:tcW w:w="9016" w:type="dxa"/>
            <w:tcBorders>
              <w:top w:val="nil"/>
              <w:left w:val="nil"/>
              <w:bottom w:val="nil"/>
              <w:right w:val="nil"/>
            </w:tcBorders>
            <w:shd w:val="clear" w:color="auto" w:fill="00ACC9"/>
            <w:vAlign w:val="bottom"/>
          </w:tcPr>
          <w:p w14:paraId="08BCB83A" w14:textId="19866E2B" w:rsidR="00FE6E01" w:rsidRPr="00FE6E01" w:rsidRDefault="00FE6E01" w:rsidP="00FE6E01">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lastRenderedPageBreak/>
              <w:t xml:space="preserve">Change “principles of good banking practice” </w:t>
            </w:r>
            <w:r>
              <w:rPr>
                <w:rFonts w:ascii="Arial" w:hAnsi="Arial" w:cs="Arial"/>
                <w:b/>
                <w:color w:val="FFFFFF" w:themeColor="background1"/>
                <w:sz w:val="28"/>
                <w:szCs w:val="28"/>
              </w:rPr>
              <w:br/>
            </w:r>
            <w:r w:rsidRPr="00FE6E01">
              <w:rPr>
                <w:rFonts w:ascii="Arial" w:hAnsi="Arial" w:cs="Arial"/>
                <w:b/>
                <w:color w:val="FFFFFF" w:themeColor="background1"/>
                <w:sz w:val="28"/>
                <w:szCs w:val="28"/>
              </w:rPr>
              <w:t>to “principles of good industry practice”</w:t>
            </w:r>
          </w:p>
        </w:tc>
      </w:tr>
    </w:tbl>
    <w:p w14:paraId="42FD413E" w14:textId="77777777" w:rsidR="00FE6E01" w:rsidRPr="00E2715D" w:rsidRDefault="00FE6E01" w:rsidP="00DA0438">
      <w:pPr>
        <w:snapToGrid w:val="0"/>
        <w:spacing w:after="200" w:line="276" w:lineRule="auto"/>
        <w:jc w:val="both"/>
        <w:rPr>
          <w:rFonts w:ascii="Arial" w:eastAsia="Cambria" w:hAnsi="Arial" w:cs="Arial"/>
          <w:b/>
          <w:bCs/>
          <w:color w:val="00B0F0"/>
          <w:sz w:val="22"/>
          <w:szCs w:val="22"/>
        </w:rPr>
      </w:pPr>
    </w:p>
    <w:p w14:paraId="797635CA" w14:textId="5BCDF8F9" w:rsidR="00805002" w:rsidRDefault="0017316F" w:rsidP="00DA0438">
      <w:pPr>
        <w:snapToGrid w:val="0"/>
        <w:spacing w:after="200" w:line="276" w:lineRule="auto"/>
        <w:rPr>
          <w:rFonts w:ascii="Arial" w:eastAsia="Cambria" w:hAnsi="Arial" w:cs="Arial"/>
          <w:bCs/>
          <w:sz w:val="22"/>
          <w:szCs w:val="22"/>
        </w:rPr>
      </w:pPr>
      <w:r>
        <w:rPr>
          <w:rFonts w:ascii="Arial" w:eastAsia="Cambria" w:hAnsi="Arial" w:cs="Arial"/>
          <w:bCs/>
          <w:sz w:val="22"/>
          <w:szCs w:val="22"/>
        </w:rPr>
        <w:t xml:space="preserve">Recommendation 7 </w:t>
      </w:r>
      <w:r w:rsidR="00261194">
        <w:rPr>
          <w:rFonts w:ascii="Arial" w:eastAsia="Cambria" w:hAnsi="Arial" w:cs="Arial"/>
          <w:bCs/>
          <w:sz w:val="22"/>
          <w:szCs w:val="22"/>
        </w:rPr>
        <w:t>proposes</w:t>
      </w:r>
      <w:r>
        <w:rPr>
          <w:rFonts w:ascii="Arial" w:eastAsia="Cambria" w:hAnsi="Arial" w:cs="Arial"/>
          <w:bCs/>
          <w:sz w:val="22"/>
          <w:szCs w:val="22"/>
        </w:rPr>
        <w:t xml:space="preserve"> that the scheme should amend its rules to change “principles of good banking practice” to “principles of good industry practice”</w:t>
      </w:r>
      <w:r w:rsidR="00261194">
        <w:rPr>
          <w:rFonts w:ascii="Arial" w:eastAsia="Cambria" w:hAnsi="Arial" w:cs="Arial"/>
          <w:bCs/>
          <w:sz w:val="22"/>
          <w:szCs w:val="22"/>
        </w:rPr>
        <w:t>,</w:t>
      </w:r>
      <w:r w:rsidR="00805002">
        <w:rPr>
          <w:rFonts w:ascii="Arial" w:eastAsia="Cambria" w:hAnsi="Arial" w:cs="Arial"/>
          <w:bCs/>
          <w:sz w:val="22"/>
          <w:szCs w:val="22"/>
        </w:rPr>
        <w:t xml:space="preserve"> because the scheme deals with other kinds of banking-related disputes, such as insurance and finance.</w:t>
      </w:r>
    </w:p>
    <w:p w14:paraId="58836D01" w14:textId="529D68C5" w:rsidR="00805002" w:rsidRDefault="000B7A93" w:rsidP="00DA0438">
      <w:pPr>
        <w:snapToGrid w:val="0"/>
        <w:spacing w:after="200" w:line="276" w:lineRule="auto"/>
        <w:rPr>
          <w:rFonts w:ascii="Arial" w:eastAsia="Cambria" w:hAnsi="Arial" w:cs="Arial"/>
          <w:bCs/>
          <w:sz w:val="22"/>
          <w:szCs w:val="22"/>
        </w:rPr>
      </w:pPr>
      <w:r>
        <w:rPr>
          <w:rFonts w:ascii="Arial" w:eastAsia="Cambria" w:hAnsi="Arial" w:cs="Arial"/>
          <w:bCs/>
          <w:sz w:val="22"/>
          <w:szCs w:val="22"/>
        </w:rPr>
        <w:t>R</w:t>
      </w:r>
      <w:r w:rsidR="0017316F">
        <w:rPr>
          <w:rFonts w:ascii="Arial" w:eastAsia="Cambria" w:hAnsi="Arial" w:cs="Arial"/>
          <w:bCs/>
          <w:sz w:val="22"/>
          <w:szCs w:val="22"/>
        </w:rPr>
        <w:t>ule 9 (which sets out the scheme’s decision-making criteria</w:t>
      </w:r>
      <w:r>
        <w:rPr>
          <w:rFonts w:ascii="Arial" w:eastAsia="Cambria" w:hAnsi="Arial" w:cs="Arial"/>
          <w:bCs/>
          <w:sz w:val="22"/>
          <w:szCs w:val="22"/>
        </w:rPr>
        <w:t>) and</w:t>
      </w:r>
      <w:r w:rsidR="0017316F">
        <w:rPr>
          <w:rFonts w:ascii="Arial" w:eastAsia="Cambria" w:hAnsi="Arial" w:cs="Arial"/>
          <w:bCs/>
          <w:sz w:val="22"/>
          <w:szCs w:val="22"/>
        </w:rPr>
        <w:t xml:space="preserve"> rule 2.3 (which requires that a complaint</w:t>
      </w:r>
      <w:r w:rsidR="00BB184A">
        <w:rPr>
          <w:rFonts w:ascii="Arial" w:eastAsia="Cambria" w:hAnsi="Arial" w:cs="Arial"/>
          <w:bCs/>
          <w:sz w:val="22"/>
          <w:szCs w:val="22"/>
        </w:rPr>
        <w:t xml:space="preserve"> is</w:t>
      </w:r>
      <w:r w:rsidR="0017316F">
        <w:rPr>
          <w:rFonts w:ascii="Arial" w:eastAsia="Cambria" w:hAnsi="Arial" w:cs="Arial"/>
          <w:bCs/>
          <w:sz w:val="22"/>
          <w:szCs w:val="22"/>
        </w:rPr>
        <w:t xml:space="preserve"> </w:t>
      </w:r>
      <w:r w:rsidR="00805002">
        <w:rPr>
          <w:rFonts w:ascii="Arial" w:eastAsia="Cambria" w:hAnsi="Arial" w:cs="Arial"/>
          <w:bCs/>
          <w:sz w:val="22"/>
          <w:szCs w:val="22"/>
        </w:rPr>
        <w:t>about a breach of contract, statutory obligation, industry code or principles of good banking practice)</w:t>
      </w:r>
      <w:r>
        <w:rPr>
          <w:rFonts w:ascii="Arial" w:eastAsia="Cambria" w:hAnsi="Arial" w:cs="Arial"/>
          <w:bCs/>
          <w:sz w:val="22"/>
          <w:szCs w:val="22"/>
        </w:rPr>
        <w:t xml:space="preserve"> both refer to “principles of good banking practice”</w:t>
      </w:r>
      <w:r w:rsidR="00805002">
        <w:rPr>
          <w:rFonts w:ascii="Arial" w:eastAsia="Cambria" w:hAnsi="Arial" w:cs="Arial"/>
          <w:bCs/>
          <w:sz w:val="22"/>
          <w:szCs w:val="22"/>
        </w:rPr>
        <w:t>.</w:t>
      </w:r>
      <w:r w:rsidR="00805002" w:rsidRPr="00805002">
        <w:rPr>
          <w:rFonts w:ascii="Arial" w:eastAsia="Cambria" w:hAnsi="Arial" w:cs="Arial"/>
          <w:bCs/>
          <w:sz w:val="22"/>
          <w:szCs w:val="22"/>
        </w:rPr>
        <w:t xml:space="preserve"> </w:t>
      </w:r>
    </w:p>
    <w:p w14:paraId="2700A103" w14:textId="33B17402" w:rsidR="00F4180B" w:rsidRPr="00D26BA5" w:rsidRDefault="00295CDD" w:rsidP="00DA0438">
      <w:pPr>
        <w:snapToGrid w:val="0"/>
        <w:spacing w:after="200" w:line="276" w:lineRule="auto"/>
        <w:rPr>
          <w:rFonts w:ascii="Arial" w:eastAsia="Cambria" w:hAnsi="Arial" w:cs="Arial"/>
          <w:b/>
          <w:sz w:val="22"/>
          <w:szCs w:val="22"/>
        </w:rPr>
      </w:pPr>
      <w:r>
        <w:rPr>
          <w:rFonts w:ascii="Arial" w:eastAsia="Cambria" w:hAnsi="Arial" w:cs="Arial"/>
          <w:b/>
          <w:sz w:val="22"/>
          <w:szCs w:val="22"/>
        </w:rPr>
        <w:t>Options</w:t>
      </w:r>
    </w:p>
    <w:p w14:paraId="319DCC75" w14:textId="0FBAAEB1" w:rsidR="00F4180B" w:rsidRPr="00D26BA5" w:rsidRDefault="00F4180B" w:rsidP="00DA0438">
      <w:pPr>
        <w:snapToGrid w:val="0"/>
        <w:spacing w:after="200" w:line="276" w:lineRule="auto"/>
        <w:jc w:val="both"/>
        <w:rPr>
          <w:rFonts w:ascii="Arial" w:eastAsia="Cambria" w:hAnsi="Arial" w:cs="Arial"/>
          <w:sz w:val="22"/>
          <w:szCs w:val="22"/>
        </w:rPr>
      </w:pPr>
      <w:r w:rsidRPr="00D26BA5">
        <w:rPr>
          <w:rFonts w:ascii="Arial" w:eastAsia="Cambria" w:hAnsi="Arial" w:cs="Arial"/>
          <w:i/>
          <w:sz w:val="22"/>
          <w:szCs w:val="22"/>
        </w:rPr>
        <w:t>One:</w:t>
      </w:r>
      <w:r w:rsidRPr="00D26BA5">
        <w:rPr>
          <w:rFonts w:ascii="Arial" w:eastAsia="Cambria" w:hAnsi="Arial" w:cs="Arial"/>
          <w:sz w:val="22"/>
          <w:szCs w:val="22"/>
        </w:rPr>
        <w:t xml:space="preserve"> Keep the current </w:t>
      </w:r>
      <w:r w:rsidR="00EC7472">
        <w:rPr>
          <w:rFonts w:ascii="Arial" w:eastAsia="Cambria" w:hAnsi="Arial" w:cs="Arial"/>
          <w:sz w:val="22"/>
          <w:szCs w:val="22"/>
        </w:rPr>
        <w:t xml:space="preserve">wording </w:t>
      </w:r>
      <w:r w:rsidR="00C02A21">
        <w:rPr>
          <w:rFonts w:ascii="Arial" w:eastAsia="Cambria" w:hAnsi="Arial" w:cs="Arial"/>
          <w:sz w:val="22"/>
          <w:szCs w:val="22"/>
        </w:rPr>
        <w:t>“</w:t>
      </w:r>
      <w:r w:rsidR="00EC7472">
        <w:rPr>
          <w:rFonts w:ascii="Arial" w:eastAsia="Cambria" w:hAnsi="Arial" w:cs="Arial"/>
          <w:sz w:val="22"/>
          <w:szCs w:val="22"/>
        </w:rPr>
        <w:t>principles of good banking practice</w:t>
      </w:r>
      <w:r w:rsidR="00C02A21">
        <w:rPr>
          <w:rFonts w:ascii="Arial" w:eastAsia="Cambria" w:hAnsi="Arial" w:cs="Arial"/>
          <w:sz w:val="22"/>
          <w:szCs w:val="22"/>
        </w:rPr>
        <w:t>”</w:t>
      </w:r>
      <w:r w:rsidR="00261194">
        <w:rPr>
          <w:rFonts w:ascii="Arial" w:eastAsia="Cambria" w:hAnsi="Arial" w:cs="Arial"/>
          <w:sz w:val="22"/>
          <w:szCs w:val="22"/>
        </w:rPr>
        <w:t>.</w:t>
      </w:r>
    </w:p>
    <w:p w14:paraId="0DB964DF" w14:textId="1A8C342F" w:rsidR="00F4180B" w:rsidRDefault="00F4180B" w:rsidP="00DA0438">
      <w:pPr>
        <w:snapToGrid w:val="0"/>
        <w:spacing w:after="200" w:line="276" w:lineRule="auto"/>
        <w:jc w:val="both"/>
        <w:rPr>
          <w:rFonts w:ascii="Arial" w:eastAsia="Cambria" w:hAnsi="Arial" w:cs="Arial"/>
          <w:sz w:val="22"/>
          <w:szCs w:val="22"/>
        </w:rPr>
      </w:pPr>
      <w:r w:rsidRPr="00D26BA5">
        <w:rPr>
          <w:rFonts w:ascii="Arial" w:eastAsia="Cambria" w:hAnsi="Arial" w:cs="Arial"/>
          <w:i/>
          <w:sz w:val="22"/>
          <w:szCs w:val="22"/>
        </w:rPr>
        <w:t>Two:</w:t>
      </w:r>
      <w:r w:rsidRPr="00D26BA5">
        <w:rPr>
          <w:rFonts w:ascii="Arial" w:eastAsia="Cambria" w:hAnsi="Arial" w:cs="Arial"/>
          <w:sz w:val="22"/>
          <w:szCs w:val="22"/>
        </w:rPr>
        <w:t xml:space="preserve"> </w:t>
      </w:r>
      <w:r>
        <w:rPr>
          <w:rFonts w:ascii="Arial" w:eastAsia="Cambria" w:hAnsi="Arial" w:cs="Arial"/>
          <w:sz w:val="22"/>
          <w:szCs w:val="22"/>
        </w:rPr>
        <w:t>Ame</w:t>
      </w:r>
      <w:r w:rsidR="00EC7472">
        <w:rPr>
          <w:rFonts w:ascii="Arial" w:eastAsia="Cambria" w:hAnsi="Arial" w:cs="Arial"/>
          <w:sz w:val="22"/>
          <w:szCs w:val="22"/>
        </w:rPr>
        <w:t xml:space="preserve">nd </w:t>
      </w:r>
      <w:r w:rsidR="00261194">
        <w:rPr>
          <w:rFonts w:ascii="Arial" w:eastAsia="Cambria" w:hAnsi="Arial" w:cs="Arial"/>
          <w:sz w:val="22"/>
          <w:szCs w:val="22"/>
        </w:rPr>
        <w:t xml:space="preserve">the </w:t>
      </w:r>
      <w:r w:rsidR="00EC7472">
        <w:rPr>
          <w:rFonts w:ascii="Arial" w:eastAsia="Cambria" w:hAnsi="Arial" w:cs="Arial"/>
          <w:sz w:val="22"/>
          <w:szCs w:val="22"/>
        </w:rPr>
        <w:t>wording</w:t>
      </w:r>
      <w:r w:rsidR="00261194">
        <w:rPr>
          <w:rFonts w:ascii="Arial" w:eastAsia="Cambria" w:hAnsi="Arial" w:cs="Arial"/>
          <w:sz w:val="22"/>
          <w:szCs w:val="22"/>
        </w:rPr>
        <w:t xml:space="preserve"> in rules 2.3 and 9</w:t>
      </w:r>
      <w:r w:rsidR="00EC7472">
        <w:rPr>
          <w:rFonts w:ascii="Arial" w:eastAsia="Cambria" w:hAnsi="Arial" w:cs="Arial"/>
          <w:sz w:val="22"/>
          <w:szCs w:val="22"/>
        </w:rPr>
        <w:t xml:space="preserve"> to </w:t>
      </w:r>
      <w:r w:rsidR="00C02A21">
        <w:rPr>
          <w:rFonts w:ascii="Arial" w:eastAsia="Cambria" w:hAnsi="Arial" w:cs="Arial"/>
          <w:sz w:val="22"/>
          <w:szCs w:val="22"/>
        </w:rPr>
        <w:t>“</w:t>
      </w:r>
      <w:r w:rsidR="00EC7472">
        <w:rPr>
          <w:rFonts w:ascii="Arial" w:eastAsia="Cambria" w:hAnsi="Arial" w:cs="Arial"/>
          <w:sz w:val="22"/>
          <w:szCs w:val="22"/>
        </w:rPr>
        <w:t>principles of good industry practice</w:t>
      </w:r>
      <w:r w:rsidR="00C02A21">
        <w:rPr>
          <w:rFonts w:ascii="Arial" w:eastAsia="Cambria" w:hAnsi="Arial" w:cs="Arial"/>
          <w:sz w:val="22"/>
          <w:szCs w:val="22"/>
        </w:rPr>
        <w:t>”</w:t>
      </w:r>
      <w:r w:rsidR="00261194">
        <w:rPr>
          <w:rFonts w:ascii="Arial" w:eastAsia="Cambria" w:hAnsi="Arial" w:cs="Arial"/>
          <w:sz w:val="22"/>
          <w:szCs w:val="22"/>
        </w:rPr>
        <w:t>.</w:t>
      </w:r>
    </w:p>
    <w:p w14:paraId="71F5CDE1" w14:textId="06C361CF" w:rsidR="003021BA" w:rsidRDefault="00BB184A" w:rsidP="00E27969">
      <w:pPr>
        <w:spacing w:after="200" w:line="276" w:lineRule="auto"/>
        <w:rPr>
          <w:rFonts w:ascii="Arial" w:eastAsia="Cambria" w:hAnsi="Arial"/>
          <w:bCs/>
        </w:rPr>
      </w:pPr>
      <w:r>
        <w:rPr>
          <w:rFonts w:ascii="Arial" w:eastAsia="Cambria" w:hAnsi="Arial"/>
          <w:bCs/>
        </w:rPr>
        <w:br w:type="page"/>
      </w:r>
    </w:p>
    <w:tbl>
      <w:tblPr>
        <w:tblStyle w:val="TableGrid"/>
        <w:tblW w:w="0" w:type="auto"/>
        <w:tblLook w:val="04A0" w:firstRow="1" w:lastRow="0" w:firstColumn="1" w:lastColumn="0" w:noHBand="0" w:noVBand="1"/>
      </w:tblPr>
      <w:tblGrid>
        <w:gridCol w:w="9016"/>
      </w:tblGrid>
      <w:tr w:rsidR="00FE6E01" w:rsidRPr="00FE6E01" w14:paraId="296C7010" w14:textId="77777777" w:rsidTr="009204E7">
        <w:trPr>
          <w:trHeight w:val="759"/>
        </w:trPr>
        <w:tc>
          <w:tcPr>
            <w:tcW w:w="9016" w:type="dxa"/>
            <w:tcBorders>
              <w:top w:val="nil"/>
              <w:left w:val="nil"/>
              <w:bottom w:val="nil"/>
              <w:right w:val="nil"/>
            </w:tcBorders>
            <w:shd w:val="clear" w:color="auto" w:fill="00ACC9"/>
            <w:vAlign w:val="bottom"/>
          </w:tcPr>
          <w:p w14:paraId="141CA180" w14:textId="52792A76" w:rsidR="00FE6E01" w:rsidRPr="00FE6E01" w:rsidRDefault="00FE6E01" w:rsidP="00A4540E">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lastRenderedPageBreak/>
              <w:t>Proposed wording changes to the terms of reference</w:t>
            </w:r>
          </w:p>
        </w:tc>
      </w:tr>
    </w:tbl>
    <w:p w14:paraId="72006481" w14:textId="77777777" w:rsidR="00FE6E01" w:rsidRPr="0009087C" w:rsidRDefault="00FE6E01" w:rsidP="00920F23">
      <w:pPr>
        <w:spacing w:after="200" w:line="276" w:lineRule="auto"/>
        <w:rPr>
          <w:rFonts w:ascii="Arial" w:hAnsi="Arial" w:cs="Arial"/>
          <w:b/>
          <w:color w:val="00B0F0"/>
          <w:sz w:val="22"/>
          <w:szCs w:val="22"/>
          <w:lang w:val="en-GB"/>
        </w:rPr>
      </w:pPr>
    </w:p>
    <w:p w14:paraId="1E90709B" w14:textId="789CE9A0" w:rsidR="00920F23" w:rsidRPr="00247FF3" w:rsidRDefault="00920F23" w:rsidP="00920F23">
      <w:pPr>
        <w:snapToGrid w:val="0"/>
        <w:spacing w:after="200" w:line="276" w:lineRule="auto"/>
        <w:rPr>
          <w:rFonts w:ascii="Arial" w:eastAsia="Cambria" w:hAnsi="Arial" w:cs="Arial"/>
          <w:sz w:val="22"/>
          <w:szCs w:val="22"/>
          <w:u w:val="single"/>
          <w:lang w:val="en-US"/>
        </w:rPr>
      </w:pPr>
      <w:r w:rsidRPr="00247FF3">
        <w:rPr>
          <w:rFonts w:ascii="Arial" w:eastAsia="Cambria" w:hAnsi="Arial" w:cs="Arial"/>
          <w:sz w:val="22"/>
          <w:szCs w:val="22"/>
          <w:u w:val="single"/>
          <w:lang w:val="en-US"/>
        </w:rPr>
        <w:t>Recommendation 1</w:t>
      </w:r>
    </w:p>
    <w:p w14:paraId="263CBBC2" w14:textId="06EF0AF2" w:rsidR="00920F23" w:rsidRPr="0003028B" w:rsidRDefault="003C41DD" w:rsidP="00920F23">
      <w:pPr>
        <w:snapToGrid w:val="0"/>
        <w:spacing w:after="200" w:line="276" w:lineRule="auto"/>
        <w:jc w:val="both"/>
        <w:rPr>
          <w:rFonts w:ascii="Arial" w:eastAsia="Cambria" w:hAnsi="Arial" w:cs="Arial"/>
          <w:sz w:val="22"/>
          <w:szCs w:val="22"/>
        </w:rPr>
      </w:pPr>
      <w:r>
        <w:rPr>
          <w:rFonts w:ascii="Arial" w:eastAsia="Cambria" w:hAnsi="Arial" w:cs="Arial"/>
          <w:sz w:val="22"/>
          <w:szCs w:val="22"/>
        </w:rPr>
        <w:t>We</w:t>
      </w:r>
      <w:r w:rsidR="00920F23" w:rsidRPr="0003028B">
        <w:rPr>
          <w:rFonts w:ascii="Arial" w:eastAsia="Cambria" w:hAnsi="Arial" w:cs="Arial"/>
          <w:sz w:val="22"/>
          <w:szCs w:val="22"/>
        </w:rPr>
        <w:t xml:space="preserve"> propose to change the wording of clause 2.1 </w:t>
      </w:r>
      <w:r w:rsidR="00247FF3">
        <w:rPr>
          <w:rFonts w:ascii="Arial" w:eastAsia="Cambria" w:hAnsi="Arial" w:cs="Arial"/>
          <w:sz w:val="22"/>
          <w:szCs w:val="22"/>
        </w:rPr>
        <w:t xml:space="preserve">of the terms of reference </w:t>
      </w:r>
      <w:r w:rsidR="00920F23">
        <w:rPr>
          <w:rFonts w:ascii="Arial" w:eastAsia="Cambria" w:hAnsi="Arial" w:cs="Arial"/>
          <w:sz w:val="22"/>
          <w:szCs w:val="22"/>
        </w:rPr>
        <w:t>to allow complaints about recipient banks:</w:t>
      </w:r>
    </w:p>
    <w:p w14:paraId="02FBC5F7" w14:textId="77777777" w:rsidR="00920F23" w:rsidRPr="0003028B" w:rsidRDefault="00920F23" w:rsidP="00920F23">
      <w:pPr>
        <w:keepNext/>
        <w:keepLines/>
        <w:spacing w:after="200" w:line="276" w:lineRule="auto"/>
        <w:ind w:left="720"/>
        <w:outlineLvl w:val="0"/>
        <w:rPr>
          <w:rFonts w:ascii="Arial" w:eastAsia="MS Mincho" w:hAnsi="Arial" w:cs="Arial"/>
          <w:b/>
          <w:sz w:val="20"/>
          <w:szCs w:val="20"/>
          <w:lang w:val="en-GB"/>
        </w:rPr>
      </w:pPr>
      <w:bookmarkStart w:id="0" w:name="_Toc58833017"/>
      <w:r w:rsidRPr="0003028B">
        <w:rPr>
          <w:rFonts w:ascii="Arial" w:eastAsia="MS Mincho" w:hAnsi="Arial" w:cs="Arial"/>
          <w:b/>
          <w:sz w:val="20"/>
          <w:szCs w:val="20"/>
          <w:lang w:val="en-GB"/>
        </w:rPr>
        <w:t>Preconditions to considering complaints</w:t>
      </w:r>
      <w:bookmarkEnd w:id="0"/>
    </w:p>
    <w:p w14:paraId="0FE648F5" w14:textId="77777777" w:rsidR="00920F23" w:rsidRPr="00F95039" w:rsidRDefault="00920F23" w:rsidP="00920F23">
      <w:pPr>
        <w:spacing w:after="200" w:line="276" w:lineRule="auto"/>
        <w:ind w:left="720"/>
        <w:rPr>
          <w:rFonts w:ascii="Arial" w:eastAsia="MS Mincho" w:hAnsi="Arial" w:cs="Arial"/>
          <w:sz w:val="20"/>
          <w:szCs w:val="20"/>
          <w:lang w:val="en-GB"/>
        </w:rPr>
      </w:pPr>
      <w:r w:rsidRPr="0003028B">
        <w:rPr>
          <w:rFonts w:ascii="Arial" w:eastAsia="MS Mincho" w:hAnsi="Arial" w:cs="Arial"/>
          <w:sz w:val="20"/>
          <w:szCs w:val="20"/>
          <w:lang w:val="en-GB"/>
        </w:rPr>
        <w:t xml:space="preserve">2. To consider or continue considering a </w:t>
      </w:r>
      <w:r w:rsidRPr="00F95039">
        <w:rPr>
          <w:rFonts w:ascii="Arial" w:eastAsia="MS Mincho" w:hAnsi="Arial" w:cs="Arial"/>
          <w:sz w:val="20"/>
          <w:szCs w:val="20"/>
          <w:lang w:val="en-GB"/>
        </w:rPr>
        <w:t>complaint, the scheme must be satisfied:</w:t>
      </w:r>
    </w:p>
    <w:p w14:paraId="1089A9A3" w14:textId="77777777" w:rsidR="00920F23" w:rsidRPr="00F95039" w:rsidRDefault="00920F23" w:rsidP="00920F23">
      <w:pPr>
        <w:spacing w:after="200" w:line="276" w:lineRule="auto"/>
        <w:ind w:left="1440"/>
        <w:rPr>
          <w:rFonts w:ascii="Arial" w:eastAsia="MS Mincho" w:hAnsi="Arial" w:cs="Arial"/>
          <w:sz w:val="20"/>
          <w:szCs w:val="20"/>
          <w:lang w:val="en-GB"/>
        </w:rPr>
      </w:pPr>
      <w:r w:rsidRPr="00F95039">
        <w:rPr>
          <w:rFonts w:ascii="Arial" w:eastAsia="MS Mincho" w:hAnsi="Arial" w:cs="Arial"/>
          <w:sz w:val="20"/>
          <w:szCs w:val="20"/>
          <w:lang w:val="en-GB"/>
        </w:rPr>
        <w:t>2.1 The individual, group of individuals or entity making the complaint is the same individual, group or entity:</w:t>
      </w:r>
    </w:p>
    <w:p w14:paraId="4F4C2661" w14:textId="567621B7" w:rsidR="00920F23" w:rsidRPr="00247FF3" w:rsidRDefault="00920F23" w:rsidP="0007577C">
      <w:pPr>
        <w:spacing w:after="200" w:line="276" w:lineRule="auto"/>
        <w:ind w:left="2160"/>
        <w:rPr>
          <w:rFonts w:ascii="Arial" w:eastAsia="MS Mincho" w:hAnsi="Arial" w:cs="Arial"/>
          <w:iCs/>
          <w:sz w:val="20"/>
          <w:szCs w:val="20"/>
          <w:lang w:val="en-GB"/>
        </w:rPr>
      </w:pPr>
      <w:r w:rsidRPr="00F95039">
        <w:rPr>
          <w:rFonts w:ascii="Arial" w:eastAsia="MS Mincho" w:hAnsi="Arial" w:cs="Arial"/>
          <w:sz w:val="20"/>
          <w:szCs w:val="20"/>
          <w:lang w:val="en-GB"/>
        </w:rPr>
        <w:t>2.1.1 to receive or not receive the service that is the subject of the complaint (</w:t>
      </w:r>
      <w:r w:rsidRPr="00F95039">
        <w:rPr>
          <w:rFonts w:ascii="Arial" w:eastAsia="MS Mincho" w:hAnsi="Arial" w:cs="Arial"/>
          <w:i/>
          <w:sz w:val="20"/>
          <w:szCs w:val="20"/>
          <w:lang w:val="en-GB"/>
        </w:rPr>
        <w:t>The scheme accepts complaints by representatives of such individuals, groups and entities</w:t>
      </w:r>
      <w:r w:rsidR="0007577C">
        <w:rPr>
          <w:rFonts w:ascii="Arial" w:eastAsia="MS Mincho" w:hAnsi="Arial" w:cs="Arial"/>
          <w:i/>
          <w:sz w:val="20"/>
          <w:szCs w:val="20"/>
          <w:lang w:val="en-GB"/>
        </w:rPr>
        <w:t xml:space="preserve"> and complaints about any bank involved in the banking service, including banks that receive payments)</w:t>
      </w:r>
      <w:r w:rsidRPr="00F95039">
        <w:rPr>
          <w:rFonts w:ascii="Arial" w:eastAsia="MS Mincho" w:hAnsi="Arial" w:cs="Arial"/>
          <w:i/>
          <w:sz w:val="20"/>
          <w:szCs w:val="20"/>
          <w:lang w:val="en-GB"/>
        </w:rPr>
        <w:t>.</w:t>
      </w:r>
      <w:r w:rsidRPr="00F95039">
        <w:rPr>
          <w:rFonts w:ascii="Arial" w:eastAsia="MS Mincho" w:hAnsi="Arial" w:cs="Arial"/>
          <w:iCs/>
          <w:sz w:val="20"/>
          <w:szCs w:val="20"/>
          <w:lang w:val="en-GB"/>
        </w:rPr>
        <w:t xml:space="preserve"> </w:t>
      </w:r>
    </w:p>
    <w:p w14:paraId="18597208" w14:textId="0037865D" w:rsidR="00920F23" w:rsidRPr="00920F23" w:rsidRDefault="00920F23" w:rsidP="00920F23">
      <w:pPr>
        <w:snapToGrid w:val="0"/>
        <w:spacing w:after="200" w:line="276" w:lineRule="auto"/>
        <w:jc w:val="both"/>
        <w:rPr>
          <w:rFonts w:ascii="Arial" w:eastAsia="Cambria" w:hAnsi="Arial" w:cs="Arial"/>
          <w:sz w:val="22"/>
          <w:szCs w:val="22"/>
          <w:u w:val="single"/>
          <w:lang w:val="en-US"/>
        </w:rPr>
      </w:pPr>
      <w:r w:rsidRPr="00920F23">
        <w:rPr>
          <w:rFonts w:ascii="Arial" w:eastAsia="Cambria" w:hAnsi="Arial" w:cs="Arial"/>
          <w:sz w:val="22"/>
          <w:szCs w:val="22"/>
          <w:u w:val="single"/>
          <w:lang w:val="en-US"/>
        </w:rPr>
        <w:t>Recommendation 4</w:t>
      </w:r>
    </w:p>
    <w:p w14:paraId="3A785507" w14:textId="77777777" w:rsidR="00920F23" w:rsidRPr="0003028B" w:rsidRDefault="00920F23" w:rsidP="00920F23">
      <w:pPr>
        <w:spacing w:after="200" w:line="276" w:lineRule="auto"/>
        <w:rPr>
          <w:rFonts w:ascii="Arial" w:eastAsia="MS Mincho" w:hAnsi="Arial" w:cs="Arial"/>
          <w:sz w:val="22"/>
          <w:szCs w:val="22"/>
          <w:lang w:val="en-GB"/>
        </w:rPr>
      </w:pPr>
      <w:r w:rsidRPr="0003028B">
        <w:rPr>
          <w:rFonts w:ascii="Arial" w:eastAsia="MS Mincho" w:hAnsi="Arial" w:cs="Arial"/>
          <w:sz w:val="22"/>
          <w:szCs w:val="22"/>
          <w:lang w:val="en-GB"/>
        </w:rPr>
        <w:t>We propose to include a clause under the heading ‘claims and compensation’ which confirms that customers can limit their claims:</w:t>
      </w:r>
    </w:p>
    <w:p w14:paraId="3562C942" w14:textId="25A4F0EA" w:rsidR="00920F23" w:rsidRPr="0003028B" w:rsidRDefault="00920F23" w:rsidP="00920F23">
      <w:pPr>
        <w:spacing w:after="200" w:line="276" w:lineRule="auto"/>
        <w:ind w:left="720"/>
        <w:rPr>
          <w:rFonts w:ascii="Arial" w:eastAsia="MS Mincho" w:hAnsi="Arial" w:cs="Arial"/>
          <w:sz w:val="20"/>
          <w:szCs w:val="20"/>
          <w:lang w:val="en-GB"/>
        </w:rPr>
      </w:pPr>
      <w:r w:rsidRPr="0003028B">
        <w:rPr>
          <w:rFonts w:ascii="Arial" w:eastAsia="MS Mincho" w:hAnsi="Arial" w:cs="Arial"/>
          <w:sz w:val="20"/>
          <w:szCs w:val="20"/>
          <w:lang w:val="en-GB"/>
        </w:rPr>
        <w:t>32. Where a claim exceeds the maximum compensation the scheme can awar</w:t>
      </w:r>
      <w:r>
        <w:rPr>
          <w:rFonts w:ascii="Arial" w:eastAsia="MS Mincho" w:hAnsi="Arial" w:cs="Arial"/>
          <w:sz w:val="20"/>
          <w:szCs w:val="20"/>
          <w:lang w:val="en-GB"/>
        </w:rPr>
        <w:t>d</w:t>
      </w:r>
      <w:r w:rsidRPr="0003028B">
        <w:rPr>
          <w:rFonts w:ascii="Arial" w:eastAsia="MS Mincho" w:hAnsi="Arial" w:cs="Arial"/>
          <w:sz w:val="20"/>
          <w:szCs w:val="20"/>
          <w:lang w:val="en-GB"/>
        </w:rPr>
        <w:t xml:space="preserve">, </w:t>
      </w:r>
      <w:r>
        <w:rPr>
          <w:rFonts w:ascii="Arial" w:eastAsia="MS Mincho" w:hAnsi="Arial" w:cs="Arial"/>
          <w:sz w:val="20"/>
          <w:szCs w:val="20"/>
          <w:lang w:val="en-GB"/>
        </w:rPr>
        <w:t xml:space="preserve">and the bank does not agree to allow the scheme to consider the complaint, </w:t>
      </w:r>
      <w:r w:rsidRPr="0003028B">
        <w:rPr>
          <w:rFonts w:ascii="Arial" w:eastAsia="MS Mincho" w:hAnsi="Arial" w:cs="Arial"/>
          <w:sz w:val="20"/>
          <w:szCs w:val="20"/>
          <w:lang w:val="en-GB"/>
        </w:rPr>
        <w:t>the scheme can none</w:t>
      </w:r>
      <w:r>
        <w:rPr>
          <w:rFonts w:ascii="Arial" w:eastAsia="MS Mincho" w:hAnsi="Arial" w:cs="Arial"/>
          <w:sz w:val="20"/>
          <w:szCs w:val="20"/>
          <w:lang w:val="en-GB"/>
        </w:rPr>
        <w:t>t</w:t>
      </w:r>
      <w:r w:rsidRPr="0003028B">
        <w:rPr>
          <w:rFonts w:ascii="Arial" w:eastAsia="MS Mincho" w:hAnsi="Arial" w:cs="Arial"/>
          <w:sz w:val="20"/>
          <w:szCs w:val="20"/>
          <w:lang w:val="en-GB"/>
        </w:rPr>
        <w:t>heless consider the complaint if</w:t>
      </w:r>
      <w:r>
        <w:rPr>
          <w:rFonts w:ascii="Arial" w:eastAsia="MS Mincho" w:hAnsi="Arial" w:cs="Arial"/>
          <w:sz w:val="20"/>
          <w:szCs w:val="20"/>
          <w:lang w:val="en-GB"/>
        </w:rPr>
        <w:t xml:space="preserve"> </w:t>
      </w:r>
      <w:r w:rsidRPr="0003028B">
        <w:rPr>
          <w:rFonts w:ascii="Arial" w:eastAsia="MS Mincho" w:hAnsi="Arial" w:cs="Arial"/>
          <w:sz w:val="20"/>
          <w:szCs w:val="20"/>
          <w:lang w:val="en-GB"/>
        </w:rPr>
        <w:t>the customer agrees in writing to limit their claim to the maximum</w:t>
      </w:r>
      <w:r>
        <w:rPr>
          <w:rFonts w:ascii="Arial" w:eastAsia="MS Mincho" w:hAnsi="Arial" w:cs="Arial"/>
          <w:sz w:val="20"/>
          <w:szCs w:val="20"/>
          <w:lang w:val="en-GB"/>
        </w:rPr>
        <w:t>.</w:t>
      </w:r>
    </w:p>
    <w:p w14:paraId="39816B79" w14:textId="7F31C51B" w:rsidR="00920F23" w:rsidRPr="00920F23" w:rsidRDefault="00920F23" w:rsidP="000F2F96">
      <w:pPr>
        <w:spacing w:after="200" w:line="276" w:lineRule="auto"/>
        <w:rPr>
          <w:rFonts w:ascii="Arial" w:hAnsi="Arial" w:cs="Arial"/>
          <w:bCs/>
          <w:sz w:val="22"/>
          <w:szCs w:val="22"/>
          <w:u w:val="single"/>
          <w:lang w:val="en-GB"/>
        </w:rPr>
      </w:pPr>
      <w:r w:rsidRPr="00920F23">
        <w:rPr>
          <w:rFonts w:ascii="Arial" w:hAnsi="Arial" w:cs="Arial"/>
          <w:bCs/>
          <w:sz w:val="22"/>
          <w:szCs w:val="22"/>
          <w:u w:val="single"/>
          <w:lang w:val="en-GB"/>
        </w:rPr>
        <w:t xml:space="preserve">Recommendations 7 </w:t>
      </w:r>
      <w:r>
        <w:rPr>
          <w:rFonts w:ascii="Arial" w:hAnsi="Arial" w:cs="Arial"/>
          <w:bCs/>
          <w:sz w:val="22"/>
          <w:szCs w:val="22"/>
          <w:u w:val="single"/>
          <w:lang w:val="en-GB"/>
        </w:rPr>
        <w:t>and</w:t>
      </w:r>
      <w:r w:rsidRPr="00920F23">
        <w:rPr>
          <w:rFonts w:ascii="Arial" w:hAnsi="Arial" w:cs="Arial"/>
          <w:bCs/>
          <w:sz w:val="22"/>
          <w:szCs w:val="22"/>
          <w:u w:val="single"/>
          <w:lang w:val="en-GB"/>
        </w:rPr>
        <w:t xml:space="preserve"> 8:</w:t>
      </w:r>
    </w:p>
    <w:p w14:paraId="0A0C06C5" w14:textId="4692B04B" w:rsidR="00920F23" w:rsidRPr="00F95039" w:rsidRDefault="00920F23" w:rsidP="00920F23">
      <w:pPr>
        <w:spacing w:after="200" w:line="276" w:lineRule="auto"/>
        <w:rPr>
          <w:rFonts w:ascii="Arial" w:hAnsi="Arial" w:cs="Arial"/>
          <w:bCs/>
          <w:sz w:val="22"/>
          <w:szCs w:val="22"/>
          <w:lang w:val="en-GB"/>
        </w:rPr>
      </w:pPr>
      <w:r w:rsidRPr="00F95039">
        <w:rPr>
          <w:rFonts w:ascii="Arial" w:hAnsi="Arial" w:cs="Arial"/>
          <w:bCs/>
          <w:sz w:val="22"/>
          <w:szCs w:val="22"/>
          <w:lang w:val="en-GB"/>
        </w:rPr>
        <w:t>We proposed to change “good banking practice” to “good industry practice”</w:t>
      </w:r>
      <w:r w:rsidR="00247FF3">
        <w:rPr>
          <w:rFonts w:ascii="Arial" w:hAnsi="Arial" w:cs="Arial"/>
          <w:bCs/>
          <w:sz w:val="22"/>
          <w:szCs w:val="22"/>
          <w:lang w:val="en-GB"/>
        </w:rPr>
        <w:t xml:space="preserve"> and </w:t>
      </w:r>
      <w:r w:rsidRPr="00F95039">
        <w:rPr>
          <w:rFonts w:ascii="Arial" w:hAnsi="Arial" w:cs="Arial"/>
          <w:bCs/>
          <w:sz w:val="22"/>
          <w:szCs w:val="22"/>
          <w:lang w:val="en-GB"/>
        </w:rPr>
        <w:t>remove the requirement to consult with the industry to determine principles</w:t>
      </w:r>
      <w:r w:rsidR="00B07377">
        <w:rPr>
          <w:rFonts w:ascii="Arial" w:hAnsi="Arial" w:cs="Arial"/>
          <w:bCs/>
          <w:sz w:val="22"/>
          <w:szCs w:val="22"/>
          <w:lang w:val="en-GB"/>
        </w:rPr>
        <w:t xml:space="preserve"> of good banking practice</w:t>
      </w:r>
      <w:r>
        <w:rPr>
          <w:rFonts w:ascii="Arial" w:hAnsi="Arial" w:cs="Arial"/>
          <w:bCs/>
          <w:sz w:val="22"/>
          <w:szCs w:val="22"/>
          <w:lang w:val="en-GB"/>
        </w:rPr>
        <w:t>:</w:t>
      </w:r>
    </w:p>
    <w:p w14:paraId="0A6C5B48" w14:textId="77777777" w:rsidR="00920F23" w:rsidRDefault="00920F23" w:rsidP="00920F23">
      <w:pPr>
        <w:spacing w:after="200" w:line="276" w:lineRule="auto"/>
        <w:ind w:left="720"/>
        <w:rPr>
          <w:rFonts w:ascii="Arial" w:eastAsia="MS Mincho" w:hAnsi="Arial" w:cs="Arial"/>
          <w:sz w:val="20"/>
          <w:szCs w:val="20"/>
          <w:lang w:val="en-GB"/>
        </w:rPr>
      </w:pPr>
      <w:r w:rsidRPr="00F95039">
        <w:rPr>
          <w:rFonts w:ascii="Arial" w:eastAsia="MS Mincho" w:hAnsi="Arial" w:cs="Arial"/>
          <w:sz w:val="20"/>
          <w:szCs w:val="20"/>
          <w:lang w:val="en-GB"/>
        </w:rPr>
        <w:t>2.3 The complaint is about the bank’s breach of a contract, statutory obligation, industry code or principles of good industry practice</w:t>
      </w:r>
      <w:r>
        <w:rPr>
          <w:rFonts w:ascii="Arial" w:eastAsia="MS Mincho" w:hAnsi="Arial" w:cs="Arial"/>
          <w:sz w:val="20"/>
          <w:szCs w:val="20"/>
          <w:lang w:val="en-GB"/>
        </w:rPr>
        <w:t>.</w:t>
      </w:r>
    </w:p>
    <w:p w14:paraId="79F696F8" w14:textId="77777777" w:rsidR="00920F23" w:rsidRPr="00F95039" w:rsidRDefault="00920F23" w:rsidP="00920F23">
      <w:pPr>
        <w:spacing w:after="200" w:line="276" w:lineRule="auto"/>
        <w:ind w:left="720"/>
        <w:rPr>
          <w:rFonts w:ascii="Arial" w:eastAsia="MS Mincho" w:hAnsi="Arial" w:cs="Arial"/>
          <w:sz w:val="20"/>
          <w:szCs w:val="20"/>
          <w:lang w:val="en-GB"/>
        </w:rPr>
      </w:pPr>
      <w:r>
        <w:rPr>
          <w:rFonts w:ascii="Arial" w:eastAsia="MS Mincho" w:hAnsi="Arial" w:cs="Arial"/>
          <w:sz w:val="20"/>
          <w:szCs w:val="20"/>
          <w:lang w:val="en-GB"/>
        </w:rPr>
        <w:t>…</w:t>
      </w:r>
    </w:p>
    <w:p w14:paraId="270FA6FC" w14:textId="77777777" w:rsidR="00920F23" w:rsidRPr="00F95039" w:rsidRDefault="00920F23" w:rsidP="00920F23">
      <w:pPr>
        <w:spacing w:after="200" w:line="276" w:lineRule="auto"/>
        <w:ind w:left="720"/>
        <w:rPr>
          <w:rFonts w:ascii="Arial" w:eastAsia="MS Mincho" w:hAnsi="Arial" w:cs="Arial"/>
          <w:i/>
          <w:sz w:val="20"/>
          <w:szCs w:val="20"/>
          <w:lang w:val="en-GB"/>
        </w:rPr>
      </w:pPr>
      <w:bookmarkStart w:id="1" w:name="_Hlk181781736"/>
      <w:r w:rsidRPr="00F95039">
        <w:rPr>
          <w:rFonts w:ascii="Arial" w:eastAsia="MS Mincho" w:hAnsi="Arial" w:cs="Arial"/>
          <w:sz w:val="20"/>
          <w:szCs w:val="20"/>
          <w:lang w:val="en-GB"/>
        </w:rPr>
        <w:t xml:space="preserve">9. In making any decision, the scheme must be fair in all the circumstances, having regard to the law, any relevant code of practice, and principles of good industry practice. </w:t>
      </w:r>
      <w:bookmarkEnd w:id="1"/>
    </w:p>
    <w:p w14:paraId="0D0FD24F" w14:textId="786B28ED" w:rsidR="00920F23" w:rsidRPr="00F95039" w:rsidRDefault="00920F23" w:rsidP="00920F23">
      <w:pPr>
        <w:spacing w:after="200" w:line="276" w:lineRule="auto"/>
        <w:rPr>
          <w:rFonts w:ascii="Arial" w:hAnsi="Arial" w:cs="Arial"/>
          <w:bCs/>
          <w:sz w:val="22"/>
          <w:szCs w:val="22"/>
          <w:lang w:val="en-GB"/>
        </w:rPr>
      </w:pPr>
      <w:r w:rsidRPr="00F95039">
        <w:rPr>
          <w:rFonts w:ascii="Arial" w:hAnsi="Arial" w:cs="Arial"/>
          <w:bCs/>
          <w:sz w:val="22"/>
          <w:szCs w:val="22"/>
          <w:lang w:val="en-GB"/>
        </w:rPr>
        <w:t>We proposed to add a new clause to the section ‘requests for information</w:t>
      </w:r>
      <w:r w:rsidR="00F436C6">
        <w:rPr>
          <w:rFonts w:ascii="Arial" w:hAnsi="Arial" w:cs="Arial"/>
          <w:bCs/>
          <w:sz w:val="22"/>
          <w:szCs w:val="22"/>
          <w:lang w:val="en-GB"/>
        </w:rPr>
        <w:t>’</w:t>
      </w:r>
      <w:r>
        <w:rPr>
          <w:rFonts w:ascii="Arial" w:hAnsi="Arial" w:cs="Arial"/>
          <w:bCs/>
          <w:sz w:val="22"/>
          <w:szCs w:val="22"/>
          <w:lang w:val="en-GB"/>
        </w:rPr>
        <w:t xml:space="preserve"> confirming that we may consult with experts</w:t>
      </w:r>
      <w:r w:rsidR="00B07377">
        <w:rPr>
          <w:rFonts w:ascii="Arial" w:hAnsi="Arial" w:cs="Arial"/>
          <w:bCs/>
          <w:sz w:val="22"/>
          <w:szCs w:val="22"/>
          <w:lang w:val="en-GB"/>
        </w:rPr>
        <w:t xml:space="preserve"> and advisors</w:t>
      </w:r>
      <w:r>
        <w:rPr>
          <w:rFonts w:ascii="Arial" w:hAnsi="Arial" w:cs="Arial"/>
          <w:bCs/>
          <w:sz w:val="22"/>
          <w:szCs w:val="22"/>
          <w:lang w:val="en-GB"/>
        </w:rPr>
        <w:t>:</w:t>
      </w:r>
    </w:p>
    <w:p w14:paraId="3303E868" w14:textId="1D5BF13B" w:rsidR="00920F23" w:rsidRDefault="00920F23" w:rsidP="00920F23">
      <w:pPr>
        <w:spacing w:after="200" w:line="276" w:lineRule="auto"/>
        <w:ind w:left="720"/>
        <w:rPr>
          <w:rFonts w:ascii="Arial" w:eastAsia="MS Mincho" w:hAnsi="Arial" w:cs="Arial"/>
          <w:sz w:val="20"/>
          <w:szCs w:val="20"/>
          <w:lang w:val="en-GB"/>
        </w:rPr>
      </w:pPr>
      <w:r w:rsidRPr="00F95039">
        <w:rPr>
          <w:rFonts w:ascii="Arial" w:eastAsia="MS Mincho" w:hAnsi="Arial" w:cs="Arial"/>
          <w:sz w:val="20"/>
          <w:szCs w:val="20"/>
          <w:lang w:val="en-GB"/>
        </w:rPr>
        <w:t>19. When considering a complaint, the scheme may consult with relevant experts</w:t>
      </w:r>
      <w:r w:rsidR="000F2F96">
        <w:rPr>
          <w:rFonts w:ascii="Arial" w:eastAsia="MS Mincho" w:hAnsi="Arial" w:cs="Arial"/>
          <w:sz w:val="20"/>
          <w:szCs w:val="20"/>
          <w:lang w:val="en-GB"/>
        </w:rPr>
        <w:t xml:space="preserve"> and </w:t>
      </w:r>
      <w:r w:rsidRPr="00F95039">
        <w:rPr>
          <w:rFonts w:ascii="Arial" w:eastAsia="MS Mincho" w:hAnsi="Arial" w:cs="Arial"/>
          <w:sz w:val="20"/>
          <w:szCs w:val="20"/>
          <w:lang w:val="en-GB"/>
        </w:rPr>
        <w:t>industry and consumer advisors</w:t>
      </w:r>
      <w:r>
        <w:rPr>
          <w:rFonts w:ascii="Arial" w:eastAsia="MS Mincho" w:hAnsi="Arial" w:cs="Arial"/>
          <w:sz w:val="20"/>
          <w:szCs w:val="20"/>
          <w:lang w:val="en-GB"/>
        </w:rPr>
        <w:t>,</w:t>
      </w:r>
      <w:r w:rsidRPr="00F95039">
        <w:rPr>
          <w:rFonts w:ascii="Arial" w:eastAsia="MS Mincho" w:hAnsi="Arial" w:cs="Arial"/>
          <w:sz w:val="20"/>
          <w:szCs w:val="20"/>
          <w:lang w:val="en-GB"/>
        </w:rPr>
        <w:t xml:space="preserve"> as it thinks appropriate.</w:t>
      </w:r>
    </w:p>
    <w:p w14:paraId="78CC88EC" w14:textId="77777777" w:rsidR="00920F23" w:rsidRPr="00920F23" w:rsidRDefault="00920F23" w:rsidP="00E27969">
      <w:pPr>
        <w:spacing w:after="200" w:line="276" w:lineRule="auto"/>
        <w:rPr>
          <w:rFonts w:ascii="Arial" w:eastAsia="Cambria" w:hAnsi="Arial"/>
          <w:bCs/>
          <w:lang w:val="en-GB"/>
        </w:rPr>
      </w:pPr>
    </w:p>
    <w:p w14:paraId="67E0C48D" w14:textId="77777777" w:rsidR="000F2F96" w:rsidRDefault="000F2F96">
      <w:pPr>
        <w:spacing w:after="200" w:line="276" w:lineRule="auto"/>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9016"/>
      </w:tblGrid>
      <w:tr w:rsidR="00FE6E01" w:rsidRPr="00FE6E01" w14:paraId="326AC25B" w14:textId="77777777" w:rsidTr="009204E7">
        <w:trPr>
          <w:trHeight w:val="759"/>
        </w:trPr>
        <w:tc>
          <w:tcPr>
            <w:tcW w:w="9016" w:type="dxa"/>
            <w:tcBorders>
              <w:top w:val="nil"/>
              <w:left w:val="nil"/>
              <w:bottom w:val="nil"/>
              <w:right w:val="nil"/>
            </w:tcBorders>
            <w:shd w:val="clear" w:color="auto" w:fill="00ACC9"/>
            <w:vAlign w:val="bottom"/>
          </w:tcPr>
          <w:p w14:paraId="0E6421A0" w14:textId="7C75BE6A" w:rsidR="00FE6E01" w:rsidRPr="00FE6E01" w:rsidRDefault="00FE6E01" w:rsidP="00A4540E">
            <w:pPr>
              <w:tabs>
                <w:tab w:val="left" w:pos="1440"/>
                <w:tab w:val="left" w:pos="5040"/>
                <w:tab w:val="left" w:pos="7200"/>
              </w:tabs>
              <w:snapToGrid w:val="0"/>
              <w:spacing w:after="200" w:line="276" w:lineRule="auto"/>
              <w:jc w:val="center"/>
              <w:rPr>
                <w:rFonts w:ascii="Arial" w:hAnsi="Arial" w:cs="Arial"/>
                <w:b/>
                <w:color w:val="FFFFFF" w:themeColor="background1"/>
                <w:sz w:val="28"/>
                <w:szCs w:val="28"/>
              </w:rPr>
            </w:pPr>
            <w:r w:rsidRPr="00FE6E01">
              <w:rPr>
                <w:rFonts w:ascii="Arial" w:hAnsi="Arial" w:cs="Arial"/>
                <w:b/>
                <w:color w:val="FFFFFF" w:themeColor="background1"/>
                <w:sz w:val="28"/>
                <w:szCs w:val="28"/>
              </w:rPr>
              <w:lastRenderedPageBreak/>
              <w:t>Appendix: Your comments on the recommendations and options</w:t>
            </w:r>
          </w:p>
        </w:tc>
      </w:tr>
    </w:tbl>
    <w:p w14:paraId="2E124815" w14:textId="77777777" w:rsidR="00FE6E01" w:rsidRPr="0009087C" w:rsidRDefault="00FE6E01" w:rsidP="00DA0438">
      <w:pPr>
        <w:snapToGrid w:val="0"/>
        <w:spacing w:after="200" w:line="276" w:lineRule="auto"/>
        <w:rPr>
          <w:rFonts w:ascii="Arial" w:hAnsi="Arial" w:cs="Arial"/>
          <w:b/>
          <w:color w:val="00B0F0"/>
        </w:rPr>
      </w:pPr>
    </w:p>
    <w:p w14:paraId="5D40151D" w14:textId="77777777" w:rsidR="00F62E82" w:rsidRPr="00F62E82" w:rsidRDefault="00F62E82" w:rsidP="00DA0438">
      <w:pPr>
        <w:snapToGrid w:val="0"/>
        <w:spacing w:after="200" w:line="276" w:lineRule="auto"/>
        <w:jc w:val="both"/>
        <w:rPr>
          <w:rFonts w:ascii="Arial" w:hAnsi="Arial" w:cs="Arial"/>
          <w:sz w:val="22"/>
          <w:szCs w:val="22"/>
        </w:rPr>
      </w:pPr>
      <w:r w:rsidRPr="00F62E82">
        <w:rPr>
          <w:rFonts w:ascii="Arial" w:hAnsi="Arial" w:cs="Arial"/>
          <w:sz w:val="22"/>
          <w:szCs w:val="22"/>
        </w:rPr>
        <w:t xml:space="preserve">The scheme is keen to hear your views. Please complete any or </w:t>
      </w:r>
      <w:proofErr w:type="gramStart"/>
      <w:r w:rsidRPr="00F62E82">
        <w:rPr>
          <w:rFonts w:ascii="Arial" w:hAnsi="Arial" w:cs="Arial"/>
          <w:sz w:val="22"/>
          <w:szCs w:val="22"/>
        </w:rPr>
        <w:t>all of</w:t>
      </w:r>
      <w:proofErr w:type="gramEnd"/>
      <w:r w:rsidRPr="00F62E82">
        <w:rPr>
          <w:rFonts w:ascii="Arial" w:hAnsi="Arial" w:cs="Arial"/>
          <w:sz w:val="22"/>
          <w:szCs w:val="22"/>
        </w:rPr>
        <w:t xml:space="preserve"> the comment boxes, save this document and send to </w:t>
      </w:r>
      <w:hyperlink r:id="rId14" w:history="1">
        <w:r w:rsidRPr="00F62E82">
          <w:rPr>
            <w:rFonts w:ascii="Arial" w:eastAsia="Cambria" w:hAnsi="Arial" w:cs="Arial"/>
            <w:sz w:val="22"/>
            <w:szCs w:val="22"/>
            <w:u w:val="single"/>
            <w:lang w:val="en-US"/>
          </w:rPr>
          <w:t>Nicola.Sladden@bankomb.org.nz</w:t>
        </w:r>
      </w:hyperlink>
      <w:r w:rsidRPr="00F62E82">
        <w:rPr>
          <w:rFonts w:ascii="Arial" w:hAnsi="Arial" w:cs="Arial"/>
          <w:sz w:val="22"/>
          <w:szCs w:val="22"/>
        </w:rPr>
        <w:t>. Alternatively, send a submission in your own format.</w:t>
      </w:r>
    </w:p>
    <w:p w14:paraId="4CF6886C" w14:textId="77777777" w:rsidR="00247FF3" w:rsidRPr="00247FF3" w:rsidRDefault="00247FF3" w:rsidP="00247FF3">
      <w:pPr>
        <w:pBdr>
          <w:top w:val="single" w:sz="4" w:space="1" w:color="auto"/>
          <w:left w:val="single" w:sz="4" w:space="4" w:color="auto"/>
          <w:bottom w:val="single" w:sz="4" w:space="1" w:color="auto"/>
          <w:right w:val="single" w:sz="4" w:space="4" w:color="auto"/>
        </w:pBdr>
        <w:snapToGrid w:val="0"/>
        <w:spacing w:line="276" w:lineRule="auto"/>
        <w:jc w:val="both"/>
        <w:rPr>
          <w:rFonts w:ascii="Arial" w:eastAsia="Cambria" w:hAnsi="Arial" w:cs="Arial"/>
          <w:b/>
          <w:sz w:val="10"/>
          <w:szCs w:val="10"/>
          <w:lang w:val="en-US"/>
        </w:rPr>
      </w:pPr>
    </w:p>
    <w:p w14:paraId="427B6B77" w14:textId="189FFE96" w:rsidR="00F62E82" w:rsidRPr="00F62E82" w:rsidRDefault="00F62E82" w:rsidP="00247FF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r w:rsidRPr="00F62E82">
        <w:rPr>
          <w:rFonts w:ascii="Arial" w:eastAsia="Cambria" w:hAnsi="Arial" w:cs="Arial"/>
          <w:b/>
          <w:sz w:val="22"/>
          <w:szCs w:val="22"/>
          <w:lang w:val="en-US"/>
        </w:rPr>
        <w:t xml:space="preserve">Review recommendation </w:t>
      </w:r>
      <w:r w:rsidR="00827A5A">
        <w:rPr>
          <w:rFonts w:ascii="Arial" w:eastAsia="Cambria" w:hAnsi="Arial" w:cs="Arial"/>
          <w:b/>
          <w:sz w:val="22"/>
          <w:szCs w:val="22"/>
          <w:lang w:val="en-US"/>
        </w:rPr>
        <w:t>1</w:t>
      </w:r>
    </w:p>
    <w:p w14:paraId="2DFA64A3" w14:textId="2655D749" w:rsidR="004724AB" w:rsidRPr="004724AB" w:rsidRDefault="004724AB"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4724AB">
        <w:rPr>
          <w:rFonts w:ascii="Arial" w:eastAsia="Cambria" w:hAnsi="Arial" w:cs="Arial"/>
          <w:bCs/>
          <w:sz w:val="22"/>
          <w:szCs w:val="22"/>
          <w:lang w:val="en-US"/>
        </w:rPr>
        <w:t xml:space="preserve">BOS should amend its </w:t>
      </w:r>
      <w:r w:rsidR="004A5C3B">
        <w:rPr>
          <w:rFonts w:ascii="Arial" w:eastAsia="Cambria" w:hAnsi="Arial" w:cs="Arial"/>
          <w:bCs/>
          <w:sz w:val="22"/>
          <w:szCs w:val="22"/>
          <w:lang w:val="en-US"/>
        </w:rPr>
        <w:t>terms of reference</w:t>
      </w:r>
      <w:r w:rsidRPr="004724AB">
        <w:rPr>
          <w:rFonts w:ascii="Arial" w:eastAsia="Cambria" w:hAnsi="Arial" w:cs="Arial"/>
          <w:bCs/>
          <w:sz w:val="22"/>
          <w:szCs w:val="22"/>
          <w:lang w:val="en-US"/>
        </w:rPr>
        <w:t xml:space="preserve"> so it can deal with complaints against recipient banks, provided banks amend the Code of Banking Practice to institute rules relating to recipient banks, which BOS should encourage them to do.</w:t>
      </w:r>
    </w:p>
    <w:p w14:paraId="2957373D" w14:textId="6FE7E2F3" w:rsid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rPr>
      </w:pPr>
      <w:r w:rsidRPr="00F62E82">
        <w:rPr>
          <w:rFonts w:ascii="Arial" w:eastAsia="Cambria" w:hAnsi="Arial" w:cs="Arial"/>
          <w:b/>
          <w:sz w:val="22"/>
          <w:szCs w:val="22"/>
        </w:rPr>
        <w:t>Options</w:t>
      </w:r>
    </w:p>
    <w:p w14:paraId="16A27A21" w14:textId="05326F22" w:rsidR="00F95039" w:rsidRPr="00920F23" w:rsidRDefault="00F95039"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One</w:t>
      </w:r>
      <w:r w:rsidRPr="00920F23">
        <w:rPr>
          <w:rFonts w:ascii="Arial" w:eastAsia="Cambria" w:hAnsi="Arial" w:cs="Arial"/>
          <w:bCs/>
          <w:sz w:val="22"/>
          <w:szCs w:val="22"/>
          <w:lang w:val="en-US"/>
        </w:rPr>
        <w:t>: Keep the current rule that a complaint must be brought by, or on behalf of, the person who received the banking service.</w:t>
      </w:r>
    </w:p>
    <w:p w14:paraId="7233F18B" w14:textId="4476D80F" w:rsidR="00F95039" w:rsidRPr="00920F23" w:rsidRDefault="00F95039"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Two</w:t>
      </w:r>
      <w:r w:rsidRPr="00920F23">
        <w:rPr>
          <w:rFonts w:ascii="Arial" w:eastAsia="Cambria" w:hAnsi="Arial" w:cs="Arial"/>
          <w:bCs/>
          <w:sz w:val="22"/>
          <w:szCs w:val="22"/>
          <w:lang w:val="en-US"/>
        </w:rPr>
        <w:t xml:space="preserve">: </w:t>
      </w:r>
      <w:r w:rsidR="003C41DD">
        <w:rPr>
          <w:rFonts w:ascii="Arial" w:eastAsia="Cambria" w:hAnsi="Arial" w:cs="Arial"/>
          <w:bCs/>
          <w:sz w:val="22"/>
          <w:szCs w:val="22"/>
          <w:lang w:val="en-US"/>
        </w:rPr>
        <w:t>Ch</w:t>
      </w:r>
      <w:r w:rsidRPr="00920F23">
        <w:rPr>
          <w:rFonts w:ascii="Arial" w:eastAsia="Cambria" w:hAnsi="Arial" w:cs="Arial"/>
          <w:bCs/>
          <w:sz w:val="22"/>
          <w:szCs w:val="22"/>
          <w:lang w:val="en-US"/>
        </w:rPr>
        <w:t xml:space="preserve">ange </w:t>
      </w:r>
      <w:r w:rsidR="0009087C">
        <w:rPr>
          <w:rFonts w:ascii="Arial" w:eastAsia="Cambria" w:hAnsi="Arial" w:cs="Arial"/>
          <w:bCs/>
          <w:sz w:val="22"/>
          <w:szCs w:val="22"/>
          <w:lang w:val="en-US"/>
        </w:rPr>
        <w:t xml:space="preserve">the rule </w:t>
      </w:r>
      <w:r w:rsidRPr="00920F23">
        <w:rPr>
          <w:rFonts w:ascii="Arial" w:eastAsia="Cambria" w:hAnsi="Arial" w:cs="Arial"/>
          <w:bCs/>
          <w:sz w:val="22"/>
          <w:szCs w:val="22"/>
          <w:lang w:val="en-US"/>
        </w:rPr>
        <w:t xml:space="preserve">to allow complaints to be brought about a recipient bank by the sender of </w:t>
      </w:r>
      <w:r w:rsidR="006505B3">
        <w:rPr>
          <w:rFonts w:ascii="Arial" w:eastAsia="Cambria" w:hAnsi="Arial" w:cs="Arial"/>
          <w:bCs/>
          <w:sz w:val="22"/>
          <w:szCs w:val="22"/>
          <w:lang w:val="en-US"/>
        </w:rPr>
        <w:t>a</w:t>
      </w:r>
      <w:r w:rsidRPr="00920F23">
        <w:rPr>
          <w:rFonts w:ascii="Arial" w:eastAsia="Cambria" w:hAnsi="Arial" w:cs="Arial"/>
          <w:bCs/>
          <w:sz w:val="22"/>
          <w:szCs w:val="22"/>
          <w:lang w:val="en-US"/>
        </w:rPr>
        <w:t xml:space="preserve"> payment.</w:t>
      </w:r>
    </w:p>
    <w:p w14:paraId="395AE2E1"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r w:rsidRPr="00F62E82">
        <w:rPr>
          <w:rFonts w:ascii="Arial" w:eastAsia="Cambria" w:hAnsi="Arial" w:cs="Arial"/>
          <w:b/>
          <w:sz w:val="22"/>
          <w:szCs w:val="22"/>
          <w:lang w:val="en-US"/>
        </w:rPr>
        <w:t>Your comments</w:t>
      </w:r>
    </w:p>
    <w:p w14:paraId="6EBEB684"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sz w:val="22"/>
          <w:szCs w:val="22"/>
          <w:lang w:val="en-US"/>
        </w:rPr>
      </w:pPr>
    </w:p>
    <w:p w14:paraId="0D1CC938" w14:textId="77777777" w:rsidR="00920F23" w:rsidRDefault="00920F23"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sz w:val="22"/>
          <w:szCs w:val="22"/>
          <w:lang w:val="en-US"/>
        </w:rPr>
      </w:pPr>
    </w:p>
    <w:p w14:paraId="37CEAD06" w14:textId="77777777" w:rsidR="00247FF3" w:rsidRPr="00F62E82" w:rsidRDefault="00247FF3"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sz w:val="22"/>
          <w:szCs w:val="22"/>
          <w:lang w:val="en-US"/>
        </w:rPr>
      </w:pPr>
    </w:p>
    <w:p w14:paraId="59C9EC1D" w14:textId="77777777" w:rsidR="00F62E82" w:rsidRPr="00F62E82" w:rsidRDefault="00F62E82" w:rsidP="00247FF3">
      <w:pPr>
        <w:snapToGrid w:val="0"/>
        <w:spacing w:line="276" w:lineRule="auto"/>
        <w:jc w:val="both"/>
        <w:rPr>
          <w:rFonts w:ascii="Arial" w:eastAsia="Cambria" w:hAnsi="Arial" w:cs="Arial"/>
          <w:sz w:val="22"/>
          <w:szCs w:val="22"/>
          <w:lang w:val="en-US"/>
        </w:rPr>
      </w:pPr>
    </w:p>
    <w:p w14:paraId="3273F319" w14:textId="77777777" w:rsidR="00F62E82" w:rsidRPr="00247FF3" w:rsidRDefault="00F62E82" w:rsidP="00247FF3">
      <w:pPr>
        <w:pBdr>
          <w:top w:val="single" w:sz="4" w:space="1" w:color="auto"/>
          <w:left w:val="single" w:sz="4" w:space="4" w:color="auto"/>
          <w:bottom w:val="single" w:sz="4" w:space="1" w:color="auto"/>
          <w:right w:val="single" w:sz="4" w:space="4" w:color="auto"/>
        </w:pBdr>
        <w:snapToGrid w:val="0"/>
        <w:spacing w:line="276" w:lineRule="auto"/>
        <w:jc w:val="both"/>
        <w:rPr>
          <w:rFonts w:ascii="Arial" w:eastAsia="Cambria" w:hAnsi="Arial" w:cs="Arial"/>
          <w:b/>
          <w:sz w:val="10"/>
          <w:szCs w:val="10"/>
          <w:lang w:val="en-US"/>
        </w:rPr>
      </w:pPr>
    </w:p>
    <w:p w14:paraId="2541C267" w14:textId="2074A069" w:rsidR="00F62E82" w:rsidRPr="00F62E82" w:rsidRDefault="00F62E82" w:rsidP="00247FF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r w:rsidRPr="00F62E82">
        <w:rPr>
          <w:rFonts w:ascii="Arial" w:eastAsia="Cambria" w:hAnsi="Arial" w:cs="Arial"/>
          <w:b/>
          <w:sz w:val="22"/>
          <w:szCs w:val="22"/>
          <w:lang w:val="en-US"/>
        </w:rPr>
        <w:t xml:space="preserve">Review recommendation </w:t>
      </w:r>
      <w:r w:rsidR="00827A5A">
        <w:rPr>
          <w:rFonts w:ascii="Arial" w:eastAsia="Cambria" w:hAnsi="Arial" w:cs="Arial"/>
          <w:b/>
          <w:sz w:val="22"/>
          <w:szCs w:val="22"/>
          <w:lang w:val="en-US"/>
        </w:rPr>
        <w:t>4</w:t>
      </w:r>
      <w:r w:rsidRPr="00F62E82">
        <w:rPr>
          <w:rFonts w:ascii="Arial" w:eastAsia="Cambria" w:hAnsi="Arial" w:cs="Arial"/>
          <w:b/>
          <w:sz w:val="22"/>
          <w:szCs w:val="22"/>
          <w:lang w:val="en-US"/>
        </w:rPr>
        <w:t xml:space="preserve"> </w:t>
      </w:r>
    </w:p>
    <w:p w14:paraId="66CBA55C" w14:textId="48A436A4" w:rsidR="00F62E82" w:rsidRPr="004724AB" w:rsidRDefault="004724AB"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4724AB">
        <w:rPr>
          <w:rFonts w:ascii="Arial" w:eastAsia="Cambria" w:hAnsi="Arial" w:cs="Arial"/>
          <w:bCs/>
          <w:sz w:val="22"/>
          <w:szCs w:val="22"/>
          <w:lang w:val="en-US"/>
        </w:rPr>
        <w:t xml:space="preserve">BOS should consider a rule change to enable claimants to waive the amount of their claims </w:t>
      </w:r>
      <w:proofErr w:type="gramStart"/>
      <w:r w:rsidRPr="004724AB">
        <w:rPr>
          <w:rFonts w:ascii="Arial" w:eastAsia="Cambria" w:hAnsi="Arial" w:cs="Arial"/>
          <w:bCs/>
          <w:sz w:val="22"/>
          <w:szCs w:val="22"/>
          <w:lang w:val="en-US"/>
        </w:rPr>
        <w:t>in excess of</w:t>
      </w:r>
      <w:proofErr w:type="gramEnd"/>
      <w:r w:rsidRPr="004724AB">
        <w:rPr>
          <w:rFonts w:ascii="Arial" w:eastAsia="Cambria" w:hAnsi="Arial" w:cs="Arial"/>
          <w:bCs/>
          <w:sz w:val="22"/>
          <w:szCs w:val="22"/>
          <w:lang w:val="en-US"/>
        </w:rPr>
        <w:t xml:space="preserve"> the jurisdictional limit.</w:t>
      </w:r>
    </w:p>
    <w:p w14:paraId="2D93A040"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r w:rsidRPr="00F62E82">
        <w:rPr>
          <w:rFonts w:ascii="Arial" w:eastAsia="Cambria" w:hAnsi="Arial" w:cs="Arial"/>
          <w:b/>
          <w:sz w:val="22"/>
          <w:szCs w:val="22"/>
          <w:lang w:val="en-US"/>
        </w:rPr>
        <w:t>Options</w:t>
      </w:r>
    </w:p>
    <w:p w14:paraId="0AA878E4" w14:textId="77777777" w:rsidR="00920F23" w:rsidRPr="00920F23" w:rsidRDefault="00920F23"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One</w:t>
      </w:r>
      <w:r w:rsidRPr="00920F23">
        <w:rPr>
          <w:rFonts w:ascii="Arial" w:eastAsia="Cambria" w:hAnsi="Arial" w:cs="Arial"/>
          <w:bCs/>
          <w:sz w:val="22"/>
          <w:szCs w:val="22"/>
          <w:lang w:val="en-US"/>
        </w:rPr>
        <w:t>: Keep the compensation limit at $500,000 and allow larger claims where both sides agree.</w:t>
      </w:r>
    </w:p>
    <w:p w14:paraId="7C327746" w14:textId="5B135E41" w:rsidR="00920F23" w:rsidRDefault="00920F23"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Two</w:t>
      </w:r>
      <w:r w:rsidRPr="00920F23">
        <w:rPr>
          <w:rFonts w:ascii="Arial" w:eastAsia="Cambria" w:hAnsi="Arial" w:cs="Arial"/>
          <w:bCs/>
          <w:sz w:val="22"/>
          <w:szCs w:val="22"/>
          <w:lang w:val="en-US"/>
        </w:rPr>
        <w:t xml:space="preserve">: Keep the compensation limit at $500,000 but allow </w:t>
      </w:r>
      <w:r w:rsidR="001751F6" w:rsidRPr="004F1533">
        <w:rPr>
          <w:rFonts w:ascii="Arial" w:eastAsia="Cambria" w:hAnsi="Arial" w:cs="Arial"/>
          <w:sz w:val="22"/>
          <w:szCs w:val="22"/>
          <w:lang w:val="en-US"/>
        </w:rPr>
        <w:t xml:space="preserve">larger claims if the complainant agrees to </w:t>
      </w:r>
      <w:r w:rsidR="001751F6">
        <w:rPr>
          <w:rFonts w:ascii="Arial" w:eastAsia="Cambria" w:hAnsi="Arial" w:cs="Arial"/>
          <w:sz w:val="22"/>
          <w:szCs w:val="22"/>
          <w:lang w:val="en-US"/>
        </w:rPr>
        <w:t>limit their claim to the maximum</w:t>
      </w:r>
      <w:r w:rsidRPr="00920F23">
        <w:rPr>
          <w:rFonts w:ascii="Arial" w:eastAsia="Cambria" w:hAnsi="Arial" w:cs="Arial"/>
          <w:bCs/>
          <w:sz w:val="22"/>
          <w:szCs w:val="22"/>
          <w:lang w:val="en-US"/>
        </w:rPr>
        <w:t>.</w:t>
      </w:r>
    </w:p>
    <w:p w14:paraId="78513C22" w14:textId="77777777" w:rsid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r w:rsidRPr="00F62E82">
        <w:rPr>
          <w:rFonts w:ascii="Arial" w:eastAsia="Cambria" w:hAnsi="Arial" w:cs="Arial"/>
          <w:b/>
          <w:sz w:val="22"/>
          <w:szCs w:val="22"/>
          <w:lang w:val="en-US"/>
        </w:rPr>
        <w:t>Your comments</w:t>
      </w:r>
    </w:p>
    <w:p w14:paraId="4744F9B3" w14:textId="77777777" w:rsidR="00920F23" w:rsidRDefault="00920F23"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p>
    <w:p w14:paraId="3054A4E3" w14:textId="77777777" w:rsidR="00247FF3" w:rsidRPr="00F62E82" w:rsidRDefault="00247FF3"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p>
    <w:p w14:paraId="5F7CEB5F"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p>
    <w:p w14:paraId="1714A939" w14:textId="77777777" w:rsidR="00247FF3" w:rsidRPr="00F62E82" w:rsidRDefault="00247FF3" w:rsidP="00DA0438">
      <w:pPr>
        <w:snapToGrid w:val="0"/>
        <w:spacing w:after="200" w:line="276" w:lineRule="auto"/>
        <w:jc w:val="both"/>
        <w:rPr>
          <w:rFonts w:ascii="Arial" w:eastAsia="Cambria" w:hAnsi="Arial" w:cs="Arial"/>
          <w:sz w:val="22"/>
          <w:szCs w:val="22"/>
          <w:lang w:val="en-US"/>
        </w:rPr>
      </w:pPr>
    </w:p>
    <w:p w14:paraId="08B123E4" w14:textId="77777777" w:rsidR="00247FF3" w:rsidRPr="00247FF3" w:rsidRDefault="00247FF3" w:rsidP="00247FF3">
      <w:pPr>
        <w:pBdr>
          <w:top w:val="single" w:sz="4" w:space="1" w:color="auto"/>
          <w:left w:val="single" w:sz="4" w:space="4" w:color="auto"/>
          <w:bottom w:val="single" w:sz="4" w:space="1" w:color="auto"/>
          <w:right w:val="single" w:sz="4" w:space="4" w:color="auto"/>
        </w:pBdr>
        <w:snapToGrid w:val="0"/>
        <w:spacing w:line="276" w:lineRule="auto"/>
        <w:jc w:val="both"/>
        <w:rPr>
          <w:rFonts w:ascii="Arial" w:eastAsia="Cambria" w:hAnsi="Arial" w:cs="Arial"/>
          <w:b/>
          <w:sz w:val="10"/>
          <w:szCs w:val="10"/>
          <w:lang w:val="en-US"/>
        </w:rPr>
      </w:pPr>
    </w:p>
    <w:p w14:paraId="02A03A29" w14:textId="3F505A9E"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r w:rsidRPr="00F62E82">
        <w:rPr>
          <w:rFonts w:ascii="Arial" w:eastAsia="Cambria" w:hAnsi="Arial" w:cs="Arial"/>
          <w:b/>
          <w:sz w:val="22"/>
          <w:szCs w:val="22"/>
          <w:lang w:val="en-US"/>
        </w:rPr>
        <w:t xml:space="preserve">Review recommendation </w:t>
      </w:r>
      <w:r w:rsidR="00827A5A">
        <w:rPr>
          <w:rFonts w:ascii="Arial" w:eastAsia="Cambria" w:hAnsi="Arial" w:cs="Arial"/>
          <w:b/>
          <w:sz w:val="22"/>
          <w:szCs w:val="22"/>
          <w:lang w:val="en-US"/>
        </w:rPr>
        <w:t>7</w:t>
      </w:r>
    </w:p>
    <w:p w14:paraId="2BF362B2" w14:textId="375011B3" w:rsidR="00F62E82" w:rsidRPr="004724AB" w:rsidRDefault="004724AB"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4724AB">
        <w:rPr>
          <w:rFonts w:ascii="Arial" w:eastAsia="Cambria" w:hAnsi="Arial" w:cs="Arial"/>
          <w:bCs/>
          <w:sz w:val="22"/>
          <w:szCs w:val="22"/>
          <w:lang w:val="en-US"/>
        </w:rPr>
        <w:t>BOS should amend its rules and operational guidance to reflect that BOS may seek expert advice from a range of experts as it thinks fit.</w:t>
      </w:r>
    </w:p>
    <w:p w14:paraId="331E0648"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hAnsi="Arial" w:cs="Arial"/>
          <w:b/>
          <w:sz w:val="22"/>
          <w:szCs w:val="22"/>
          <w:lang w:eastAsia="en-NZ"/>
        </w:rPr>
      </w:pPr>
      <w:r w:rsidRPr="00F62E82">
        <w:rPr>
          <w:rFonts w:ascii="Arial" w:hAnsi="Arial" w:cs="Arial"/>
          <w:b/>
          <w:sz w:val="22"/>
          <w:szCs w:val="22"/>
          <w:lang w:eastAsia="en-NZ"/>
        </w:rPr>
        <w:t>Options</w:t>
      </w:r>
    </w:p>
    <w:p w14:paraId="3DFEADE4" w14:textId="77777777" w:rsidR="00920F23" w:rsidRPr="00920F23" w:rsidRDefault="00920F23"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One</w:t>
      </w:r>
      <w:r w:rsidRPr="00920F23">
        <w:rPr>
          <w:rFonts w:ascii="Arial" w:eastAsia="Cambria" w:hAnsi="Arial" w:cs="Arial"/>
          <w:bCs/>
          <w:sz w:val="22"/>
          <w:szCs w:val="22"/>
          <w:lang w:val="en-US"/>
        </w:rPr>
        <w:t>: Keep the terms of reference and operational guidelines the same.</w:t>
      </w:r>
    </w:p>
    <w:p w14:paraId="6E61E0D0" w14:textId="77777777" w:rsidR="00920F23" w:rsidRPr="00920F23" w:rsidRDefault="00920F23"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Two</w:t>
      </w:r>
      <w:r w:rsidRPr="00920F23">
        <w:rPr>
          <w:rFonts w:ascii="Arial" w:eastAsia="Cambria" w:hAnsi="Arial" w:cs="Arial"/>
          <w:bCs/>
          <w:sz w:val="22"/>
          <w:szCs w:val="22"/>
          <w:lang w:val="en-US"/>
        </w:rPr>
        <w:t xml:space="preserve">: Amend the terms of reference and operational guidelines to remove the requirement to consult with the industry and introduce a discretion for the scheme to consult with experts as it </w:t>
      </w:r>
      <w:proofErr w:type="gramStart"/>
      <w:r w:rsidRPr="00920F23">
        <w:rPr>
          <w:rFonts w:ascii="Arial" w:eastAsia="Cambria" w:hAnsi="Arial" w:cs="Arial"/>
          <w:bCs/>
          <w:sz w:val="22"/>
          <w:szCs w:val="22"/>
          <w:lang w:val="en-US"/>
        </w:rPr>
        <w:t>thinks</w:t>
      </w:r>
      <w:proofErr w:type="gramEnd"/>
      <w:r w:rsidRPr="00920F23">
        <w:rPr>
          <w:rFonts w:ascii="Arial" w:eastAsia="Cambria" w:hAnsi="Arial" w:cs="Arial"/>
          <w:bCs/>
          <w:sz w:val="22"/>
          <w:szCs w:val="22"/>
          <w:lang w:val="en-US"/>
        </w:rPr>
        <w:t xml:space="preserve"> appropriate.</w:t>
      </w:r>
    </w:p>
    <w:p w14:paraId="583D6299" w14:textId="0EBA86B2" w:rsid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hAnsi="Arial" w:cs="Arial"/>
          <w:b/>
          <w:sz w:val="22"/>
          <w:szCs w:val="22"/>
          <w:lang w:eastAsia="en-NZ"/>
        </w:rPr>
      </w:pPr>
      <w:r w:rsidRPr="00F62E82">
        <w:rPr>
          <w:rFonts w:ascii="Arial" w:hAnsi="Arial" w:cs="Arial"/>
          <w:b/>
          <w:sz w:val="22"/>
          <w:szCs w:val="22"/>
          <w:lang w:eastAsia="en-NZ"/>
        </w:rPr>
        <w:t>Your comments</w:t>
      </w:r>
    </w:p>
    <w:p w14:paraId="121DB471" w14:textId="77777777" w:rsidR="00247FF3" w:rsidRPr="00247FF3" w:rsidRDefault="00247FF3"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hAnsi="Arial" w:cs="Arial"/>
          <w:b/>
          <w:sz w:val="22"/>
          <w:szCs w:val="22"/>
          <w:lang w:eastAsia="en-NZ"/>
        </w:rPr>
      </w:pPr>
    </w:p>
    <w:p w14:paraId="45FC5C07" w14:textId="77777777" w:rsid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hAnsi="Arial" w:cs="Arial"/>
          <w:sz w:val="22"/>
          <w:szCs w:val="22"/>
          <w:lang w:eastAsia="en-NZ"/>
        </w:rPr>
      </w:pPr>
    </w:p>
    <w:p w14:paraId="7D634737"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hAnsi="Arial" w:cs="Arial"/>
          <w:sz w:val="22"/>
          <w:szCs w:val="22"/>
          <w:lang w:eastAsia="en-NZ"/>
        </w:rPr>
      </w:pPr>
    </w:p>
    <w:p w14:paraId="64AFFE8B"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hAnsi="Arial" w:cs="Arial"/>
          <w:sz w:val="22"/>
          <w:szCs w:val="22"/>
          <w:lang w:eastAsia="en-NZ"/>
        </w:rPr>
      </w:pPr>
    </w:p>
    <w:p w14:paraId="4EC4F42F" w14:textId="77777777" w:rsidR="00F62E82" w:rsidRPr="00F62E82" w:rsidRDefault="00F62E82" w:rsidP="00DA0438">
      <w:pPr>
        <w:snapToGrid w:val="0"/>
        <w:spacing w:after="200" w:line="276" w:lineRule="auto"/>
        <w:jc w:val="both"/>
        <w:rPr>
          <w:rFonts w:ascii="Arial" w:hAnsi="Arial" w:cs="Arial"/>
          <w:sz w:val="22"/>
          <w:szCs w:val="22"/>
          <w:lang w:eastAsia="en-NZ"/>
        </w:rPr>
      </w:pPr>
    </w:p>
    <w:p w14:paraId="12FF7117" w14:textId="77777777" w:rsidR="00247FF3" w:rsidRPr="00247FF3" w:rsidRDefault="00247FF3" w:rsidP="00247FF3">
      <w:pPr>
        <w:pBdr>
          <w:top w:val="single" w:sz="4" w:space="1" w:color="auto"/>
          <w:left w:val="single" w:sz="4" w:space="4" w:color="auto"/>
          <w:bottom w:val="single" w:sz="4" w:space="1" w:color="auto"/>
          <w:right w:val="single" w:sz="4" w:space="4" w:color="auto"/>
        </w:pBdr>
        <w:snapToGrid w:val="0"/>
        <w:spacing w:line="276" w:lineRule="auto"/>
        <w:jc w:val="both"/>
        <w:rPr>
          <w:rFonts w:ascii="Arial" w:eastAsia="Cambria" w:hAnsi="Arial" w:cs="Arial"/>
          <w:b/>
          <w:sz w:val="10"/>
          <w:szCs w:val="10"/>
          <w:lang w:val="en-US"/>
        </w:rPr>
      </w:pPr>
    </w:p>
    <w:p w14:paraId="233290F4" w14:textId="54F77F8E"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lang w:val="en-US"/>
        </w:rPr>
      </w:pPr>
      <w:r w:rsidRPr="00F62E82">
        <w:rPr>
          <w:rFonts w:ascii="Arial" w:eastAsia="Cambria" w:hAnsi="Arial" w:cs="Arial"/>
          <w:b/>
          <w:sz w:val="22"/>
          <w:szCs w:val="22"/>
          <w:lang w:val="en-US"/>
        </w:rPr>
        <w:t xml:space="preserve">Review recommendation </w:t>
      </w:r>
      <w:r w:rsidR="00247FF3">
        <w:rPr>
          <w:rFonts w:ascii="Arial" w:eastAsia="Cambria" w:hAnsi="Arial" w:cs="Arial"/>
          <w:b/>
          <w:sz w:val="22"/>
          <w:szCs w:val="22"/>
          <w:lang w:val="en-US"/>
        </w:rPr>
        <w:t>8</w:t>
      </w:r>
    </w:p>
    <w:p w14:paraId="60B00A69" w14:textId="77777777" w:rsidR="004724AB" w:rsidRPr="004724AB" w:rsidRDefault="004724AB"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4724AB">
        <w:rPr>
          <w:rFonts w:ascii="Arial" w:eastAsia="Cambria" w:hAnsi="Arial" w:cs="Arial"/>
          <w:bCs/>
          <w:sz w:val="22"/>
          <w:szCs w:val="22"/>
          <w:lang w:val="en-US"/>
        </w:rPr>
        <w:t>BOS should amend its rules to change “principles of good banking practice” to “principles of good industry practice”.</w:t>
      </w:r>
    </w:p>
    <w:p w14:paraId="330F34B3" w14:textId="2DC7AFCD"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rPr>
      </w:pPr>
      <w:r w:rsidRPr="00F62E82">
        <w:rPr>
          <w:rFonts w:ascii="Arial" w:eastAsia="Cambria" w:hAnsi="Arial" w:cs="Arial"/>
          <w:b/>
          <w:sz w:val="22"/>
          <w:szCs w:val="22"/>
        </w:rPr>
        <w:t>Options</w:t>
      </w:r>
    </w:p>
    <w:p w14:paraId="016B2B82" w14:textId="77777777" w:rsidR="00920F23" w:rsidRPr="00920F23" w:rsidRDefault="00920F23"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One</w:t>
      </w:r>
      <w:r w:rsidRPr="00920F23">
        <w:rPr>
          <w:rFonts w:ascii="Arial" w:eastAsia="Cambria" w:hAnsi="Arial" w:cs="Arial"/>
          <w:bCs/>
          <w:sz w:val="22"/>
          <w:szCs w:val="22"/>
          <w:lang w:val="en-US"/>
        </w:rPr>
        <w:t>: Keep the current wording “principles of good banking practice”.</w:t>
      </w:r>
    </w:p>
    <w:p w14:paraId="0770DA25" w14:textId="77777777" w:rsidR="00920F23" w:rsidRPr="00920F23" w:rsidRDefault="00920F23" w:rsidP="00920F23">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Cs/>
          <w:sz w:val="22"/>
          <w:szCs w:val="22"/>
          <w:lang w:val="en-US"/>
        </w:rPr>
      </w:pPr>
      <w:r w:rsidRPr="00920F23">
        <w:rPr>
          <w:rFonts w:ascii="Arial" w:eastAsia="Cambria" w:hAnsi="Arial" w:cs="Arial"/>
          <w:bCs/>
          <w:i/>
          <w:iCs/>
          <w:sz w:val="22"/>
          <w:szCs w:val="22"/>
          <w:lang w:val="en-US"/>
        </w:rPr>
        <w:t>Two</w:t>
      </w:r>
      <w:r w:rsidRPr="00920F23">
        <w:rPr>
          <w:rFonts w:ascii="Arial" w:eastAsia="Cambria" w:hAnsi="Arial" w:cs="Arial"/>
          <w:bCs/>
          <w:sz w:val="22"/>
          <w:szCs w:val="22"/>
          <w:lang w:val="en-US"/>
        </w:rPr>
        <w:t>: Amend the wording in rules 2.3 and 9 to “principles of good industry practice”.</w:t>
      </w:r>
    </w:p>
    <w:p w14:paraId="2917DEC4"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b/>
          <w:sz w:val="22"/>
          <w:szCs w:val="22"/>
        </w:rPr>
      </w:pPr>
      <w:r w:rsidRPr="00F62E82">
        <w:rPr>
          <w:rFonts w:ascii="Arial" w:eastAsia="Cambria" w:hAnsi="Arial" w:cs="Arial"/>
          <w:b/>
          <w:sz w:val="22"/>
          <w:szCs w:val="22"/>
        </w:rPr>
        <w:t>Your comments</w:t>
      </w:r>
    </w:p>
    <w:p w14:paraId="13C9BCBA"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cs="Arial"/>
          <w:sz w:val="22"/>
          <w:szCs w:val="22"/>
        </w:rPr>
      </w:pPr>
    </w:p>
    <w:p w14:paraId="3D59F5E6"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sz w:val="22"/>
          <w:szCs w:val="22"/>
        </w:rPr>
      </w:pPr>
    </w:p>
    <w:p w14:paraId="3F3B5996" w14:textId="77777777" w:rsidR="00F62E82" w:rsidRPr="00F62E82" w:rsidRDefault="00F62E82"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sz w:val="22"/>
          <w:szCs w:val="22"/>
        </w:rPr>
      </w:pPr>
    </w:p>
    <w:p w14:paraId="0A36C0AE" w14:textId="77777777" w:rsidR="00920F23" w:rsidRPr="00F62E82" w:rsidRDefault="00920F23" w:rsidP="00DA0438">
      <w:pPr>
        <w:pBdr>
          <w:top w:val="single" w:sz="4" w:space="1" w:color="auto"/>
          <w:left w:val="single" w:sz="4" w:space="4" w:color="auto"/>
          <w:bottom w:val="single" w:sz="4" w:space="1" w:color="auto"/>
          <w:right w:val="single" w:sz="4" w:space="4" w:color="auto"/>
        </w:pBdr>
        <w:snapToGrid w:val="0"/>
        <w:spacing w:after="200" w:line="276" w:lineRule="auto"/>
        <w:jc w:val="both"/>
        <w:rPr>
          <w:rFonts w:ascii="Arial" w:eastAsia="Cambria" w:hAnsi="Arial"/>
          <w:sz w:val="22"/>
          <w:szCs w:val="22"/>
        </w:rPr>
      </w:pPr>
    </w:p>
    <w:sectPr w:rsidR="00920F23" w:rsidRPr="00F62E82" w:rsidSect="00135628">
      <w:footerReference w:type="defaul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B26E3" w14:textId="77777777" w:rsidR="006837C4" w:rsidRDefault="006837C4" w:rsidP="00FE0950">
      <w:r>
        <w:separator/>
      </w:r>
    </w:p>
  </w:endnote>
  <w:endnote w:type="continuationSeparator" w:id="0">
    <w:p w14:paraId="752FE721" w14:textId="77777777" w:rsidR="006837C4" w:rsidRDefault="006837C4" w:rsidP="00FE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805390263"/>
      <w:docPartObj>
        <w:docPartGallery w:val="Page Numbers (Bottom of Page)"/>
        <w:docPartUnique/>
      </w:docPartObj>
    </w:sdtPr>
    <w:sdtEndPr>
      <w:rPr>
        <w:rFonts w:ascii="Times New Roman" w:hAnsi="Times New Roman" w:cs="Times New Roman"/>
        <w:sz w:val="24"/>
        <w:szCs w:val="24"/>
      </w:rPr>
    </w:sdtEndPr>
    <w:sdtContent>
      <w:p w14:paraId="663DF9EB" w14:textId="3396E72D" w:rsidR="00794196" w:rsidRDefault="00794196">
        <w:pPr>
          <w:pStyle w:val="Footer"/>
          <w:jc w:val="right"/>
        </w:pPr>
        <w:r w:rsidRPr="00A44B35">
          <w:rPr>
            <w:rFonts w:ascii="Arial" w:hAnsi="Arial" w:cs="Arial"/>
            <w:sz w:val="16"/>
            <w:szCs w:val="16"/>
          </w:rPr>
          <w:t xml:space="preserve">Page | </w:t>
        </w:r>
        <w:r w:rsidRPr="00A44B35">
          <w:rPr>
            <w:rFonts w:ascii="Arial" w:hAnsi="Arial" w:cs="Arial"/>
            <w:sz w:val="16"/>
            <w:szCs w:val="16"/>
          </w:rPr>
          <w:fldChar w:fldCharType="begin"/>
        </w:r>
        <w:r w:rsidRPr="00A44B35">
          <w:rPr>
            <w:rFonts w:ascii="Arial" w:hAnsi="Arial" w:cs="Arial"/>
            <w:sz w:val="16"/>
            <w:szCs w:val="16"/>
          </w:rPr>
          <w:instrText xml:space="preserve"> PAGE   \* MERGEFORMAT </w:instrText>
        </w:r>
        <w:r w:rsidRPr="00A44B35">
          <w:rPr>
            <w:rFonts w:ascii="Arial" w:hAnsi="Arial" w:cs="Arial"/>
            <w:sz w:val="16"/>
            <w:szCs w:val="16"/>
          </w:rPr>
          <w:fldChar w:fldCharType="separate"/>
        </w:r>
        <w:r w:rsidR="00FF5ED7">
          <w:rPr>
            <w:rFonts w:ascii="Arial" w:hAnsi="Arial" w:cs="Arial"/>
            <w:noProof/>
            <w:sz w:val="16"/>
            <w:szCs w:val="16"/>
          </w:rPr>
          <w:t>17</w:t>
        </w:r>
        <w:r w:rsidRPr="00A44B35">
          <w:rPr>
            <w:rFonts w:ascii="Arial" w:hAnsi="Arial" w:cs="Arial"/>
            <w:noProof/>
            <w:sz w:val="16"/>
            <w:szCs w:val="16"/>
          </w:rPr>
          <w:fldChar w:fldCharType="end"/>
        </w:r>
        <w:r>
          <w:t xml:space="preserve"> </w:t>
        </w:r>
      </w:p>
    </w:sdtContent>
  </w:sdt>
  <w:p w14:paraId="72A996B1" w14:textId="02844DCE" w:rsidR="00794196" w:rsidRDefault="0079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33499" w14:textId="77777777" w:rsidR="006837C4" w:rsidRDefault="006837C4" w:rsidP="00FE0950">
      <w:r>
        <w:separator/>
      </w:r>
    </w:p>
  </w:footnote>
  <w:footnote w:type="continuationSeparator" w:id="0">
    <w:p w14:paraId="10947D23" w14:textId="77777777" w:rsidR="006837C4" w:rsidRDefault="006837C4" w:rsidP="00FE0950">
      <w:r>
        <w:continuationSeparator/>
      </w:r>
    </w:p>
  </w:footnote>
  <w:footnote w:id="1">
    <w:p w14:paraId="0073B715" w14:textId="77777777" w:rsidR="00794196" w:rsidRPr="00E56907" w:rsidRDefault="00794196" w:rsidP="00FE0950">
      <w:pPr>
        <w:pStyle w:val="FootnoteText"/>
        <w:rPr>
          <w:lang w:val="en-US"/>
        </w:rPr>
      </w:pPr>
      <w:r>
        <w:rPr>
          <w:rStyle w:val="FootnoteReference"/>
        </w:rPr>
        <w:footnoteRef/>
      </w:r>
      <w:r>
        <w:rPr>
          <w:rFonts w:ascii="Arial" w:hAnsi="Arial" w:cs="Arial"/>
          <w:sz w:val="18"/>
          <w:szCs w:val="18"/>
        </w:rPr>
        <w:t xml:space="preserve"> These</w:t>
      </w:r>
      <w:r w:rsidRPr="0040282E">
        <w:rPr>
          <w:rFonts w:ascii="Arial" w:hAnsi="Arial" w:cs="Arial"/>
          <w:sz w:val="18"/>
          <w:szCs w:val="18"/>
        </w:rPr>
        <w:t xml:space="preserve"> set out the </w:t>
      </w:r>
      <w:r w:rsidRPr="0040282E">
        <w:rPr>
          <w:rFonts w:ascii="Arial" w:hAnsi="Arial" w:cs="Arial"/>
          <w:sz w:val="18"/>
          <w:szCs w:val="18"/>
          <w:lang w:val="en-US"/>
        </w:rPr>
        <w:t>powers and duties of the Banking Ombudsman, along with the limits to those powers.</w:t>
      </w:r>
    </w:p>
  </w:footnote>
  <w:footnote w:id="2">
    <w:p w14:paraId="374F89C4" w14:textId="1FF86D10" w:rsidR="00F8572A" w:rsidRPr="00F8572A" w:rsidRDefault="00F8572A">
      <w:pPr>
        <w:pStyle w:val="FootnoteText"/>
        <w:rPr>
          <w:rFonts w:ascii="Arial" w:hAnsi="Arial" w:cs="Arial"/>
        </w:rPr>
      </w:pPr>
      <w:r w:rsidRPr="00F8572A">
        <w:rPr>
          <w:rStyle w:val="FootnoteReference"/>
          <w:rFonts w:ascii="Arial" w:hAnsi="Arial" w:cs="Arial"/>
        </w:rPr>
        <w:footnoteRef/>
      </w:r>
      <w:r w:rsidRPr="00F8572A">
        <w:rPr>
          <w:rFonts w:ascii="Arial" w:hAnsi="Arial" w:cs="Arial"/>
        </w:rPr>
        <w:t xml:space="preserve"> </w:t>
      </w:r>
      <w:r w:rsidRPr="00F8572A">
        <w:rPr>
          <w:rFonts w:ascii="Arial" w:eastAsia="Cambria" w:hAnsi="Arial" w:cs="Arial"/>
          <w:lang w:val="en-US"/>
        </w:rPr>
        <w:t>These figures only reflect the cases that were declined at dispute stage – other claimants with high-value claims may have opted not to pursue their complaint through the scheme’s process once advised of the financial limits.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291"/>
    <w:multiLevelType w:val="hybridMultilevel"/>
    <w:tmpl w:val="38BC08CE"/>
    <w:lvl w:ilvl="0" w:tplc="7486A04E">
      <w:start w:val="1"/>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73AD"/>
    <w:multiLevelType w:val="hybridMultilevel"/>
    <w:tmpl w:val="2696BDC6"/>
    <w:lvl w:ilvl="0" w:tplc="8FE6D97C">
      <w:start w:val="10"/>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A62405"/>
    <w:multiLevelType w:val="hybridMultilevel"/>
    <w:tmpl w:val="1FDE06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96D9E"/>
    <w:multiLevelType w:val="hybridMultilevel"/>
    <w:tmpl w:val="5F9A1BA2"/>
    <w:lvl w:ilvl="0" w:tplc="DD442A48">
      <w:start w:val="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FD4CD5"/>
    <w:multiLevelType w:val="hybridMultilevel"/>
    <w:tmpl w:val="A6A0D7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E31060"/>
    <w:multiLevelType w:val="hybridMultilevel"/>
    <w:tmpl w:val="F1DC25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0F2080"/>
    <w:multiLevelType w:val="hybridMultilevel"/>
    <w:tmpl w:val="EAA8D3DE"/>
    <w:lvl w:ilvl="0" w:tplc="D3A27E54">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844714"/>
    <w:multiLevelType w:val="hybridMultilevel"/>
    <w:tmpl w:val="F73E8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D07D56"/>
    <w:multiLevelType w:val="hybridMultilevel"/>
    <w:tmpl w:val="2F623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F549E8"/>
    <w:multiLevelType w:val="hybridMultilevel"/>
    <w:tmpl w:val="5F28F4D8"/>
    <w:lvl w:ilvl="0" w:tplc="81FC4952">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576F1"/>
    <w:multiLevelType w:val="hybridMultilevel"/>
    <w:tmpl w:val="87D811EC"/>
    <w:lvl w:ilvl="0" w:tplc="7208040E">
      <w:start w:val="1"/>
      <w:numFmt w:val="bullet"/>
      <w:lvlText w:val=""/>
      <w:lvlJc w:val="left"/>
      <w:pPr>
        <w:ind w:left="720" w:hanging="360"/>
      </w:pPr>
      <w:rPr>
        <w:rFonts w:ascii="Symbol" w:hAnsi="Symbol" w:hint="default"/>
        <w:lang w:val="en-G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AB6DDC"/>
    <w:multiLevelType w:val="hybridMultilevel"/>
    <w:tmpl w:val="DEE80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08105B"/>
    <w:multiLevelType w:val="hybridMultilevel"/>
    <w:tmpl w:val="610EB020"/>
    <w:lvl w:ilvl="0" w:tplc="F43C2C5E">
      <w:start w:val="5"/>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E6574A"/>
    <w:multiLevelType w:val="hybridMultilevel"/>
    <w:tmpl w:val="B3E4D9CE"/>
    <w:lvl w:ilvl="0" w:tplc="9EE68152">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55FEB"/>
    <w:multiLevelType w:val="hybridMultilevel"/>
    <w:tmpl w:val="7CFE8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A177EA"/>
    <w:multiLevelType w:val="hybridMultilevel"/>
    <w:tmpl w:val="53484D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DB04CB"/>
    <w:multiLevelType w:val="hybridMultilevel"/>
    <w:tmpl w:val="11B46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000883"/>
    <w:multiLevelType w:val="hybridMultilevel"/>
    <w:tmpl w:val="A76440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8C14B99"/>
    <w:multiLevelType w:val="hybridMultilevel"/>
    <w:tmpl w:val="6F7EA1DA"/>
    <w:lvl w:ilvl="0" w:tplc="269EF92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5799155">
    <w:abstractNumId w:val="4"/>
  </w:num>
  <w:num w:numId="2" w16cid:durableId="1358651922">
    <w:abstractNumId w:val="11"/>
  </w:num>
  <w:num w:numId="3" w16cid:durableId="1766145852">
    <w:abstractNumId w:val="10"/>
  </w:num>
  <w:num w:numId="4" w16cid:durableId="529800444">
    <w:abstractNumId w:val="3"/>
  </w:num>
  <w:num w:numId="5" w16cid:durableId="980383549">
    <w:abstractNumId w:val="17"/>
  </w:num>
  <w:num w:numId="6" w16cid:durableId="2035646175">
    <w:abstractNumId w:val="14"/>
  </w:num>
  <w:num w:numId="7" w16cid:durableId="750661023">
    <w:abstractNumId w:val="12"/>
  </w:num>
  <w:num w:numId="8" w16cid:durableId="1691835035">
    <w:abstractNumId w:val="0"/>
  </w:num>
  <w:num w:numId="9" w16cid:durableId="474838231">
    <w:abstractNumId w:val="6"/>
  </w:num>
  <w:num w:numId="10" w16cid:durableId="144128009">
    <w:abstractNumId w:val="1"/>
  </w:num>
  <w:num w:numId="11" w16cid:durableId="2121483167">
    <w:abstractNumId w:val="9"/>
  </w:num>
  <w:num w:numId="12" w16cid:durableId="1545217458">
    <w:abstractNumId w:val="7"/>
  </w:num>
  <w:num w:numId="13" w16cid:durableId="1607957040">
    <w:abstractNumId w:val="13"/>
  </w:num>
  <w:num w:numId="14" w16cid:durableId="349719201">
    <w:abstractNumId w:val="2"/>
  </w:num>
  <w:num w:numId="15" w16cid:durableId="855919373">
    <w:abstractNumId w:val="5"/>
  </w:num>
  <w:num w:numId="16" w16cid:durableId="471945107">
    <w:abstractNumId w:val="8"/>
  </w:num>
  <w:num w:numId="17" w16cid:durableId="479615739">
    <w:abstractNumId w:val="16"/>
  </w:num>
  <w:num w:numId="18" w16cid:durableId="290865097">
    <w:abstractNumId w:val="18"/>
  </w:num>
  <w:num w:numId="19" w16cid:durableId="449473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50"/>
    <w:rsid w:val="00003188"/>
    <w:rsid w:val="00017678"/>
    <w:rsid w:val="00020FCF"/>
    <w:rsid w:val="000255E3"/>
    <w:rsid w:val="0003028B"/>
    <w:rsid w:val="000504B7"/>
    <w:rsid w:val="000575ED"/>
    <w:rsid w:val="00073DA0"/>
    <w:rsid w:val="0007577C"/>
    <w:rsid w:val="00090529"/>
    <w:rsid w:val="0009087C"/>
    <w:rsid w:val="00096842"/>
    <w:rsid w:val="000B2A10"/>
    <w:rsid w:val="000B5C78"/>
    <w:rsid w:val="000B632A"/>
    <w:rsid w:val="000B7A93"/>
    <w:rsid w:val="000C12F3"/>
    <w:rsid w:val="000D6B6C"/>
    <w:rsid w:val="000E635B"/>
    <w:rsid w:val="000F2F96"/>
    <w:rsid w:val="00107DC6"/>
    <w:rsid w:val="001133A6"/>
    <w:rsid w:val="00135628"/>
    <w:rsid w:val="001479B7"/>
    <w:rsid w:val="00163F28"/>
    <w:rsid w:val="001702E7"/>
    <w:rsid w:val="00170655"/>
    <w:rsid w:val="0017316F"/>
    <w:rsid w:val="001751F6"/>
    <w:rsid w:val="001956CB"/>
    <w:rsid w:val="001A713F"/>
    <w:rsid w:val="001B124B"/>
    <w:rsid w:val="001B17BD"/>
    <w:rsid w:val="001F3D75"/>
    <w:rsid w:val="00210215"/>
    <w:rsid w:val="00233966"/>
    <w:rsid w:val="00247FF3"/>
    <w:rsid w:val="00261194"/>
    <w:rsid w:val="00284E60"/>
    <w:rsid w:val="00295CDD"/>
    <w:rsid w:val="002C14A7"/>
    <w:rsid w:val="002C4856"/>
    <w:rsid w:val="002F0D2A"/>
    <w:rsid w:val="002F3CF7"/>
    <w:rsid w:val="0030085F"/>
    <w:rsid w:val="003021BA"/>
    <w:rsid w:val="003021C7"/>
    <w:rsid w:val="003110F9"/>
    <w:rsid w:val="00335F85"/>
    <w:rsid w:val="00340D1D"/>
    <w:rsid w:val="0034783C"/>
    <w:rsid w:val="0035336C"/>
    <w:rsid w:val="0036177E"/>
    <w:rsid w:val="003664A5"/>
    <w:rsid w:val="00373EED"/>
    <w:rsid w:val="00375E10"/>
    <w:rsid w:val="003764A2"/>
    <w:rsid w:val="00391EF1"/>
    <w:rsid w:val="00394E2A"/>
    <w:rsid w:val="003A49B9"/>
    <w:rsid w:val="003C33AB"/>
    <w:rsid w:val="003C3972"/>
    <w:rsid w:val="003C41DD"/>
    <w:rsid w:val="004079FB"/>
    <w:rsid w:val="004272C8"/>
    <w:rsid w:val="00431B01"/>
    <w:rsid w:val="004369F8"/>
    <w:rsid w:val="00461532"/>
    <w:rsid w:val="004724AB"/>
    <w:rsid w:val="00473EE6"/>
    <w:rsid w:val="00480042"/>
    <w:rsid w:val="00491A62"/>
    <w:rsid w:val="004A175B"/>
    <w:rsid w:val="004A5C3B"/>
    <w:rsid w:val="004E24BF"/>
    <w:rsid w:val="004E5962"/>
    <w:rsid w:val="004F1533"/>
    <w:rsid w:val="005007BC"/>
    <w:rsid w:val="005016AF"/>
    <w:rsid w:val="00504758"/>
    <w:rsid w:val="00512E2C"/>
    <w:rsid w:val="00514333"/>
    <w:rsid w:val="00524B83"/>
    <w:rsid w:val="005321BF"/>
    <w:rsid w:val="00581772"/>
    <w:rsid w:val="005851CE"/>
    <w:rsid w:val="005A1546"/>
    <w:rsid w:val="005B513D"/>
    <w:rsid w:val="005C67E6"/>
    <w:rsid w:val="005E763C"/>
    <w:rsid w:val="00615AD1"/>
    <w:rsid w:val="00615F7C"/>
    <w:rsid w:val="00624907"/>
    <w:rsid w:val="00627B81"/>
    <w:rsid w:val="00647778"/>
    <w:rsid w:val="006505B3"/>
    <w:rsid w:val="00653A5E"/>
    <w:rsid w:val="0066663E"/>
    <w:rsid w:val="006837C4"/>
    <w:rsid w:val="006A0065"/>
    <w:rsid w:val="006A26D8"/>
    <w:rsid w:val="006A2DE2"/>
    <w:rsid w:val="006C11F4"/>
    <w:rsid w:val="006E36DE"/>
    <w:rsid w:val="0072488C"/>
    <w:rsid w:val="007333BC"/>
    <w:rsid w:val="007527D5"/>
    <w:rsid w:val="00780DF9"/>
    <w:rsid w:val="00782749"/>
    <w:rsid w:val="00794196"/>
    <w:rsid w:val="007E5982"/>
    <w:rsid w:val="007F381C"/>
    <w:rsid w:val="007F7A8E"/>
    <w:rsid w:val="00805002"/>
    <w:rsid w:val="00826276"/>
    <w:rsid w:val="00827A5A"/>
    <w:rsid w:val="0083472E"/>
    <w:rsid w:val="00874DB8"/>
    <w:rsid w:val="008A16C8"/>
    <w:rsid w:val="008C41F5"/>
    <w:rsid w:val="00904DC9"/>
    <w:rsid w:val="00914F0C"/>
    <w:rsid w:val="009204E7"/>
    <w:rsid w:val="00920F23"/>
    <w:rsid w:val="0092358F"/>
    <w:rsid w:val="00951BEA"/>
    <w:rsid w:val="009520BF"/>
    <w:rsid w:val="00974D44"/>
    <w:rsid w:val="00995BF4"/>
    <w:rsid w:val="009B02F9"/>
    <w:rsid w:val="009C2171"/>
    <w:rsid w:val="009C35C2"/>
    <w:rsid w:val="00A07219"/>
    <w:rsid w:val="00A1528C"/>
    <w:rsid w:val="00A20755"/>
    <w:rsid w:val="00A32938"/>
    <w:rsid w:val="00A44B35"/>
    <w:rsid w:val="00A4671B"/>
    <w:rsid w:val="00A67430"/>
    <w:rsid w:val="00A73DFA"/>
    <w:rsid w:val="00A745B5"/>
    <w:rsid w:val="00AB09B2"/>
    <w:rsid w:val="00AB722D"/>
    <w:rsid w:val="00B07377"/>
    <w:rsid w:val="00B10C95"/>
    <w:rsid w:val="00B130A8"/>
    <w:rsid w:val="00B1411F"/>
    <w:rsid w:val="00B7079C"/>
    <w:rsid w:val="00BA420D"/>
    <w:rsid w:val="00BB10AE"/>
    <w:rsid w:val="00BB184A"/>
    <w:rsid w:val="00BE40DB"/>
    <w:rsid w:val="00C00745"/>
    <w:rsid w:val="00C02A21"/>
    <w:rsid w:val="00C1380D"/>
    <w:rsid w:val="00C14A4D"/>
    <w:rsid w:val="00C23DDB"/>
    <w:rsid w:val="00C25E64"/>
    <w:rsid w:val="00C421E2"/>
    <w:rsid w:val="00C66B2C"/>
    <w:rsid w:val="00C707F5"/>
    <w:rsid w:val="00C84B7D"/>
    <w:rsid w:val="00CD1233"/>
    <w:rsid w:val="00CD366C"/>
    <w:rsid w:val="00CF01D9"/>
    <w:rsid w:val="00D260BA"/>
    <w:rsid w:val="00D402F5"/>
    <w:rsid w:val="00D54B9A"/>
    <w:rsid w:val="00D80D0A"/>
    <w:rsid w:val="00D9581C"/>
    <w:rsid w:val="00D971DF"/>
    <w:rsid w:val="00DA0438"/>
    <w:rsid w:val="00DB7900"/>
    <w:rsid w:val="00DE55CF"/>
    <w:rsid w:val="00DF796B"/>
    <w:rsid w:val="00E062FC"/>
    <w:rsid w:val="00E16C89"/>
    <w:rsid w:val="00E258D0"/>
    <w:rsid w:val="00E2715D"/>
    <w:rsid w:val="00E27969"/>
    <w:rsid w:val="00E512E6"/>
    <w:rsid w:val="00E6632B"/>
    <w:rsid w:val="00E70351"/>
    <w:rsid w:val="00E95BD4"/>
    <w:rsid w:val="00EA6F29"/>
    <w:rsid w:val="00EC7472"/>
    <w:rsid w:val="00EE44CE"/>
    <w:rsid w:val="00EF6263"/>
    <w:rsid w:val="00F10AA2"/>
    <w:rsid w:val="00F4180B"/>
    <w:rsid w:val="00F436C6"/>
    <w:rsid w:val="00F44062"/>
    <w:rsid w:val="00F578AE"/>
    <w:rsid w:val="00F62E82"/>
    <w:rsid w:val="00F765B1"/>
    <w:rsid w:val="00F836A4"/>
    <w:rsid w:val="00F8572A"/>
    <w:rsid w:val="00F87B3A"/>
    <w:rsid w:val="00F95039"/>
    <w:rsid w:val="00FA1114"/>
    <w:rsid w:val="00FB2484"/>
    <w:rsid w:val="00FC73CD"/>
    <w:rsid w:val="00FE0950"/>
    <w:rsid w:val="00FE3DD0"/>
    <w:rsid w:val="00FE6E01"/>
    <w:rsid w:val="00FF1196"/>
    <w:rsid w:val="00FF5ED7"/>
    <w:rsid w:val="00FF700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5A69A9F"/>
  <w15:docId w15:val="{7543AC20-D77A-41F7-A9F5-D145263C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E0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24907"/>
    <w:pPr>
      <w:spacing w:before="100" w:beforeAutospacing="1" w:after="100" w:afterAutospacing="1"/>
      <w:outlineLvl w:val="0"/>
    </w:pPr>
    <w:rPr>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950"/>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nhideWhenUsed/>
    <w:rsid w:val="00FE095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FE0950"/>
    <w:rPr>
      <w:sz w:val="20"/>
      <w:szCs w:val="20"/>
    </w:rPr>
  </w:style>
  <w:style w:type="character" w:styleId="FootnoteReference">
    <w:name w:val="footnote reference"/>
    <w:basedOn w:val="DefaultParagraphFont"/>
    <w:unhideWhenUsed/>
    <w:rsid w:val="00FE0950"/>
    <w:rPr>
      <w:vertAlign w:val="superscript"/>
    </w:rPr>
  </w:style>
  <w:style w:type="paragraph" w:styleId="BalloonText">
    <w:name w:val="Balloon Text"/>
    <w:basedOn w:val="Normal"/>
    <w:link w:val="BalloonTextChar"/>
    <w:uiPriority w:val="99"/>
    <w:semiHidden/>
    <w:unhideWhenUsed/>
    <w:rsid w:val="00D958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581C"/>
    <w:rPr>
      <w:rFonts w:ascii="Lucida Grande" w:eastAsia="Times New Roman" w:hAnsi="Lucida Grande" w:cs="Lucida Grande"/>
      <w:sz w:val="18"/>
      <w:szCs w:val="18"/>
    </w:rPr>
  </w:style>
  <w:style w:type="character" w:styleId="Hyperlink">
    <w:name w:val="Hyperlink"/>
    <w:basedOn w:val="DefaultParagraphFont"/>
    <w:uiPriority w:val="99"/>
    <w:unhideWhenUsed/>
    <w:rsid w:val="00017678"/>
    <w:rPr>
      <w:color w:val="0000FF"/>
      <w:u w:val="single"/>
    </w:rPr>
  </w:style>
  <w:style w:type="paragraph" w:styleId="Header">
    <w:name w:val="header"/>
    <w:basedOn w:val="Normal"/>
    <w:link w:val="HeaderChar"/>
    <w:uiPriority w:val="99"/>
    <w:unhideWhenUsed/>
    <w:rsid w:val="00627B81"/>
    <w:pPr>
      <w:tabs>
        <w:tab w:val="center" w:pos="4513"/>
        <w:tab w:val="right" w:pos="9026"/>
      </w:tabs>
    </w:pPr>
  </w:style>
  <w:style w:type="character" w:customStyle="1" w:styleId="HeaderChar">
    <w:name w:val="Header Char"/>
    <w:basedOn w:val="DefaultParagraphFont"/>
    <w:link w:val="Header"/>
    <w:uiPriority w:val="99"/>
    <w:rsid w:val="00627B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7B81"/>
    <w:pPr>
      <w:tabs>
        <w:tab w:val="center" w:pos="4513"/>
        <w:tab w:val="right" w:pos="9026"/>
      </w:tabs>
    </w:pPr>
  </w:style>
  <w:style w:type="character" w:customStyle="1" w:styleId="FooterChar">
    <w:name w:val="Footer Char"/>
    <w:basedOn w:val="DefaultParagraphFont"/>
    <w:link w:val="Footer"/>
    <w:uiPriority w:val="99"/>
    <w:rsid w:val="00627B81"/>
    <w:rPr>
      <w:rFonts w:ascii="Times New Roman" w:eastAsia="Times New Roman" w:hAnsi="Times New Roman" w:cs="Times New Roman"/>
      <w:sz w:val="24"/>
      <w:szCs w:val="24"/>
    </w:rPr>
  </w:style>
  <w:style w:type="paragraph" w:styleId="Revision">
    <w:name w:val="Revision"/>
    <w:hidden/>
    <w:uiPriority w:val="99"/>
    <w:semiHidden/>
    <w:rsid w:val="00914F0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14F0C"/>
    <w:rPr>
      <w:color w:val="605E5C"/>
      <w:shd w:val="clear" w:color="auto" w:fill="E1DFDD"/>
    </w:rPr>
  </w:style>
  <w:style w:type="character" w:styleId="CommentReference">
    <w:name w:val="annotation reference"/>
    <w:basedOn w:val="DefaultParagraphFont"/>
    <w:uiPriority w:val="99"/>
    <w:semiHidden/>
    <w:unhideWhenUsed/>
    <w:rsid w:val="00827A5A"/>
    <w:rPr>
      <w:sz w:val="16"/>
      <w:szCs w:val="16"/>
    </w:rPr>
  </w:style>
  <w:style w:type="paragraph" w:styleId="CommentText">
    <w:name w:val="annotation text"/>
    <w:basedOn w:val="Normal"/>
    <w:link w:val="CommentTextChar"/>
    <w:uiPriority w:val="99"/>
    <w:unhideWhenUsed/>
    <w:rsid w:val="00827A5A"/>
    <w:rPr>
      <w:sz w:val="20"/>
      <w:szCs w:val="20"/>
    </w:rPr>
  </w:style>
  <w:style w:type="character" w:customStyle="1" w:styleId="CommentTextChar">
    <w:name w:val="Comment Text Char"/>
    <w:basedOn w:val="DefaultParagraphFont"/>
    <w:link w:val="CommentText"/>
    <w:uiPriority w:val="99"/>
    <w:rsid w:val="00827A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A5A"/>
    <w:rPr>
      <w:b/>
      <w:bCs/>
    </w:rPr>
  </w:style>
  <w:style w:type="character" w:customStyle="1" w:styleId="CommentSubjectChar">
    <w:name w:val="Comment Subject Char"/>
    <w:basedOn w:val="CommentTextChar"/>
    <w:link w:val="CommentSubject"/>
    <w:uiPriority w:val="99"/>
    <w:semiHidden/>
    <w:rsid w:val="00827A5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24907"/>
    <w:rPr>
      <w:rFonts w:ascii="Times New Roman" w:eastAsia="Times New Roman" w:hAnsi="Times New Roman" w:cs="Times New Roman"/>
      <w:b/>
      <w:bCs/>
      <w:kern w:val="36"/>
      <w:sz w:val="48"/>
      <w:szCs w:val="48"/>
      <w:lang w:eastAsia="zh-CN"/>
    </w:rPr>
  </w:style>
  <w:style w:type="character" w:styleId="FollowedHyperlink">
    <w:name w:val="FollowedHyperlink"/>
    <w:basedOn w:val="DefaultParagraphFont"/>
    <w:uiPriority w:val="99"/>
    <w:semiHidden/>
    <w:unhideWhenUsed/>
    <w:rsid w:val="004724AB"/>
    <w:rPr>
      <w:color w:val="800080" w:themeColor="followedHyperlink"/>
      <w:u w:val="single"/>
    </w:rPr>
  </w:style>
  <w:style w:type="character" w:customStyle="1" w:styleId="section-type">
    <w:name w:val="section-type"/>
    <w:basedOn w:val="DefaultParagraphFont"/>
    <w:rsid w:val="00C23DDB"/>
  </w:style>
  <w:style w:type="paragraph" w:styleId="NormalWeb">
    <w:name w:val="Normal (Web)"/>
    <w:basedOn w:val="Normal"/>
    <w:uiPriority w:val="99"/>
    <w:semiHidden/>
    <w:unhideWhenUsed/>
    <w:rsid w:val="00C23DDB"/>
    <w:pPr>
      <w:spacing w:before="100" w:beforeAutospacing="1" w:after="100" w:afterAutospacing="1"/>
    </w:pPr>
    <w:rPr>
      <w:lang w:eastAsia="zh-CN"/>
    </w:rPr>
  </w:style>
  <w:style w:type="character" w:customStyle="1" w:styleId="cf01">
    <w:name w:val="cf01"/>
    <w:basedOn w:val="DefaultParagraphFont"/>
    <w:rsid w:val="003C41DD"/>
    <w:rPr>
      <w:rFonts w:ascii="Segoe UI" w:hAnsi="Segoe UI" w:cs="Segoe UI" w:hint="default"/>
      <w:sz w:val="18"/>
      <w:szCs w:val="18"/>
    </w:rPr>
  </w:style>
  <w:style w:type="table" w:styleId="TableGrid">
    <w:name w:val="Table Grid"/>
    <w:basedOn w:val="TableNormal"/>
    <w:uiPriority w:val="59"/>
    <w:rsid w:val="00FE6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68796">
      <w:bodyDiv w:val="1"/>
      <w:marLeft w:val="0"/>
      <w:marRight w:val="0"/>
      <w:marTop w:val="0"/>
      <w:marBottom w:val="0"/>
      <w:divBdr>
        <w:top w:val="none" w:sz="0" w:space="0" w:color="auto"/>
        <w:left w:val="none" w:sz="0" w:space="0" w:color="auto"/>
        <w:bottom w:val="none" w:sz="0" w:space="0" w:color="auto"/>
        <w:right w:val="none" w:sz="0" w:space="0" w:color="auto"/>
      </w:divBdr>
      <w:divsChild>
        <w:div w:id="1921671818">
          <w:marLeft w:val="0"/>
          <w:marRight w:val="0"/>
          <w:marTop w:val="0"/>
          <w:marBottom w:val="300"/>
          <w:divBdr>
            <w:top w:val="none" w:sz="0" w:space="0" w:color="auto"/>
            <w:left w:val="none" w:sz="0" w:space="0" w:color="auto"/>
            <w:bottom w:val="none" w:sz="0" w:space="0" w:color="auto"/>
            <w:right w:val="none" w:sz="0" w:space="0" w:color="auto"/>
          </w:divBdr>
        </w:div>
        <w:div w:id="528567568">
          <w:marLeft w:val="0"/>
          <w:marRight w:val="0"/>
          <w:marTop w:val="0"/>
          <w:marBottom w:val="0"/>
          <w:divBdr>
            <w:top w:val="none" w:sz="0" w:space="0" w:color="auto"/>
            <w:left w:val="none" w:sz="0" w:space="0" w:color="auto"/>
            <w:bottom w:val="none" w:sz="0" w:space="0" w:color="auto"/>
            <w:right w:val="none" w:sz="0" w:space="0" w:color="auto"/>
          </w:divBdr>
          <w:divsChild>
            <w:div w:id="20741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cola.Sladden@bankomb.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live-public.s3.ap-southeast-2.amazonaws.com/public/Independent-Review-2024/Preliminary-Response-Independent-Review-202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live-public.s3.ap-southeast-2.amazonaws.com/public/Reference-documents/Terms-of-reference-18-July-2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os-live-public.s3.ap-southeast-2.amazonaws.com/public/Independent-Review-2024/Banking-Ombudsman-Scheme-Independent-Review-2024.pdf" TargetMode="External"/><Relationship Id="rId4" Type="http://schemas.openxmlformats.org/officeDocument/2006/relationships/settings" Target="settings.xml"/><Relationship Id="rId9" Type="http://schemas.openxmlformats.org/officeDocument/2006/relationships/image" Target="cid:01d7e334-42da-42aa-b80f-e4e0a8a41f32@AUSP282.PROD.OUTLOOK.COM" TargetMode="External"/><Relationship Id="rId14" Type="http://schemas.openxmlformats.org/officeDocument/2006/relationships/hyperlink" Target="mailto:Nicola.Sladden@bankomb.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403BA-FFBB-49D6-968F-101DF02B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New Zealand Fire Service</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Sladden</dc:creator>
  <cp:lastModifiedBy>Nicola Sladden</cp:lastModifiedBy>
  <cp:revision>2</cp:revision>
  <cp:lastPrinted>2024-11-17T19:52:00Z</cp:lastPrinted>
  <dcterms:created xsi:type="dcterms:W3CDTF">2024-11-17T20:08:00Z</dcterms:created>
  <dcterms:modified xsi:type="dcterms:W3CDTF">2024-11-17T20:08:00Z</dcterms:modified>
</cp:coreProperties>
</file>